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E79B" w14:textId="0A7ABB72" w:rsidR="39D90C46" w:rsidRDefault="39D90C46" w:rsidP="39D90C46">
      <w:pPr>
        <w:spacing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39D90C46">
        <w:rPr>
          <w:rFonts w:ascii="Calibri" w:eastAsia="Calibri" w:hAnsi="Calibri" w:cs="Calibri"/>
          <w:b/>
          <w:bCs/>
          <w:sz w:val="26"/>
          <w:szCs w:val="26"/>
        </w:rPr>
        <w:t xml:space="preserve">College of Education Research </w:t>
      </w:r>
      <w:r w:rsidR="002B7D9D" w:rsidRPr="002B7D9D">
        <w:rPr>
          <w:rFonts w:ascii="Calibri" w:eastAsia="Calibri" w:hAnsi="Calibri" w:cs="Calibri"/>
          <w:b/>
          <w:bCs/>
          <w:i/>
          <w:sz w:val="26"/>
          <w:szCs w:val="26"/>
        </w:rPr>
        <w:t xml:space="preserve">(and </w:t>
      </w:r>
      <w:r w:rsidR="002B7D9D">
        <w:rPr>
          <w:rFonts w:ascii="Calibri" w:eastAsia="Calibri" w:hAnsi="Calibri" w:cs="Calibri"/>
          <w:b/>
          <w:bCs/>
          <w:i/>
          <w:sz w:val="26"/>
          <w:szCs w:val="26"/>
        </w:rPr>
        <w:t xml:space="preserve">Grant </w:t>
      </w:r>
      <w:r w:rsidR="002B7D9D" w:rsidRPr="002B7D9D">
        <w:rPr>
          <w:rFonts w:ascii="Calibri" w:eastAsia="Calibri" w:hAnsi="Calibri" w:cs="Calibri"/>
          <w:b/>
          <w:bCs/>
          <w:i/>
          <w:sz w:val="26"/>
          <w:szCs w:val="26"/>
        </w:rPr>
        <w:t>Funded Project</w:t>
      </w:r>
      <w:r w:rsidR="00A8677E"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  <w:r w:rsidR="002B7D9D" w:rsidRPr="002B7D9D">
        <w:rPr>
          <w:rFonts w:ascii="Calibri" w:eastAsia="Calibri" w:hAnsi="Calibri" w:cs="Calibri"/>
          <w:b/>
          <w:bCs/>
          <w:i/>
          <w:sz w:val="26"/>
          <w:szCs w:val="26"/>
        </w:rPr>
        <w:t>)</w:t>
      </w:r>
      <w:r w:rsidR="002B7D9D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39D90C46">
        <w:rPr>
          <w:rFonts w:ascii="Calibri" w:eastAsia="Calibri" w:hAnsi="Calibri" w:cs="Calibri"/>
          <w:b/>
          <w:bCs/>
          <w:sz w:val="26"/>
          <w:szCs w:val="26"/>
        </w:rPr>
        <w:t>Restart Guidelines</w:t>
      </w:r>
    </w:p>
    <w:p w14:paraId="77C87C12" w14:textId="6D675B17" w:rsidR="002B7D9D" w:rsidRDefault="00DF4D4B" w:rsidP="00CE536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purpose of these guidelines is to provide a 3-</w:t>
      </w:r>
      <w:r w:rsidR="00090319"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z w:val="24"/>
          <w:szCs w:val="24"/>
        </w:rPr>
        <w:t xml:space="preserve"> framework for restarting your project work in a manner that complies with overall </w:t>
      </w:r>
      <w:proofErr w:type="spellStart"/>
      <w:r>
        <w:rPr>
          <w:rFonts w:ascii="Calibri" w:eastAsia="Calibri" w:hAnsi="Calibri" w:cs="Calibri"/>
          <w:sz w:val="24"/>
          <w:szCs w:val="24"/>
        </w:rPr>
        <w:t>UArizona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guidelines in addition to the requirements of the College of Education. </w:t>
      </w:r>
    </w:p>
    <w:p w14:paraId="4F72BB50" w14:textId="72BA65A6" w:rsidR="002B7D9D" w:rsidRDefault="00090319" w:rsidP="00380AA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80AA9">
        <w:rPr>
          <w:rFonts w:ascii="Calibri" w:eastAsia="Calibri" w:hAnsi="Calibri" w:cs="Calibri"/>
          <w:sz w:val="24"/>
          <w:szCs w:val="24"/>
          <w:u w:val="single"/>
        </w:rPr>
        <w:t>Part</w:t>
      </w:r>
      <w:r w:rsidR="002B7D9D" w:rsidRPr="00380AA9">
        <w:rPr>
          <w:rFonts w:ascii="Calibri" w:eastAsia="Calibri" w:hAnsi="Calibri" w:cs="Calibri"/>
          <w:sz w:val="24"/>
          <w:szCs w:val="24"/>
          <w:u w:val="single"/>
        </w:rPr>
        <w:t xml:space="preserve"> 1:</w:t>
      </w:r>
      <w:r w:rsidR="002B7D9D">
        <w:rPr>
          <w:rFonts w:ascii="Calibri" w:eastAsia="Calibri" w:hAnsi="Calibri" w:cs="Calibri"/>
          <w:sz w:val="24"/>
          <w:szCs w:val="24"/>
        </w:rPr>
        <w:t xml:space="preserve"> The</w:t>
      </w:r>
      <w:r w:rsidR="00773E0D">
        <w:rPr>
          <w:rFonts w:ascii="Calibri" w:eastAsia="Calibri" w:hAnsi="Calibri" w:cs="Calibri"/>
          <w:sz w:val="24"/>
          <w:szCs w:val="24"/>
        </w:rPr>
        <w:t xml:space="preserve"> approvals process for restarting a project and the considerations and documentation needed to complete that process. </w:t>
      </w:r>
    </w:p>
    <w:p w14:paraId="448639A5" w14:textId="179EBF80" w:rsidR="002B7D9D" w:rsidRPr="002B7D9D" w:rsidRDefault="00CE5362" w:rsidP="00CE5362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2B7D9D">
        <w:rPr>
          <w:rFonts w:ascii="Calibri" w:eastAsia="Calibri" w:hAnsi="Calibri" w:cs="Calibri"/>
          <w:i/>
          <w:sz w:val="24"/>
          <w:szCs w:val="24"/>
        </w:rPr>
        <w:t>An important point of clarity for the first step: if your project will be continuing 100% remotely, you do not need to complete a</w:t>
      </w:r>
      <w:r w:rsidR="00F81DC5">
        <w:rPr>
          <w:rFonts w:ascii="Calibri" w:eastAsia="Calibri" w:hAnsi="Calibri" w:cs="Calibri"/>
          <w:i/>
          <w:sz w:val="24"/>
          <w:szCs w:val="24"/>
        </w:rPr>
        <w:t xml:space="preserve">n RII </w:t>
      </w:r>
      <w:r w:rsidRPr="002B7D9D">
        <w:rPr>
          <w:rFonts w:ascii="Calibri" w:eastAsia="Calibri" w:hAnsi="Calibri" w:cs="Calibri"/>
          <w:i/>
          <w:sz w:val="24"/>
          <w:szCs w:val="24"/>
        </w:rPr>
        <w:t xml:space="preserve">Research Restart Checklist. </w:t>
      </w:r>
    </w:p>
    <w:p w14:paraId="45703218" w14:textId="30569ED7" w:rsidR="002B7D9D" w:rsidRDefault="00090319" w:rsidP="00CE536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80AA9">
        <w:rPr>
          <w:rFonts w:ascii="Calibri" w:eastAsia="Calibri" w:hAnsi="Calibri" w:cs="Calibri"/>
          <w:sz w:val="24"/>
          <w:szCs w:val="24"/>
          <w:u w:val="single"/>
        </w:rPr>
        <w:t>Part</w:t>
      </w:r>
      <w:r w:rsidR="002B7D9D" w:rsidRPr="00380AA9">
        <w:rPr>
          <w:rFonts w:ascii="Calibri" w:eastAsia="Calibri" w:hAnsi="Calibri" w:cs="Calibri"/>
          <w:sz w:val="24"/>
          <w:szCs w:val="24"/>
          <w:u w:val="single"/>
        </w:rPr>
        <w:t xml:space="preserve"> 2:</w:t>
      </w:r>
      <w:r w:rsidR="002B7D9D">
        <w:rPr>
          <w:rFonts w:ascii="Calibri" w:eastAsia="Calibri" w:hAnsi="Calibri" w:cs="Calibri"/>
          <w:sz w:val="24"/>
          <w:szCs w:val="24"/>
        </w:rPr>
        <w:t xml:space="preserve"> G</w:t>
      </w:r>
      <w:r w:rsidR="00773E0D">
        <w:rPr>
          <w:rFonts w:ascii="Calibri" w:eastAsia="Calibri" w:hAnsi="Calibri" w:cs="Calibri"/>
          <w:sz w:val="24"/>
          <w:szCs w:val="24"/>
        </w:rPr>
        <w:t xml:space="preserve">uidance on setting up proper lab/field-site protocols unique to your project. </w:t>
      </w:r>
    </w:p>
    <w:p w14:paraId="02F37760" w14:textId="1DD6D02C" w:rsidR="002B7D9D" w:rsidRDefault="00090319" w:rsidP="00CE536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80AA9">
        <w:rPr>
          <w:rFonts w:ascii="Calibri" w:eastAsia="Calibri" w:hAnsi="Calibri" w:cs="Calibri"/>
          <w:sz w:val="24"/>
          <w:szCs w:val="24"/>
          <w:u w:val="single"/>
        </w:rPr>
        <w:t>Part</w:t>
      </w:r>
      <w:r w:rsidR="002B7D9D" w:rsidRPr="00380AA9">
        <w:rPr>
          <w:rFonts w:ascii="Calibri" w:eastAsia="Calibri" w:hAnsi="Calibri" w:cs="Calibri"/>
          <w:sz w:val="24"/>
          <w:szCs w:val="24"/>
          <w:u w:val="single"/>
        </w:rPr>
        <w:t xml:space="preserve"> 3:</w:t>
      </w:r>
      <w:r w:rsidR="002B7D9D">
        <w:rPr>
          <w:rFonts w:ascii="Calibri" w:eastAsia="Calibri" w:hAnsi="Calibri" w:cs="Calibri"/>
          <w:sz w:val="24"/>
          <w:szCs w:val="24"/>
        </w:rPr>
        <w:t xml:space="preserve"> G</w:t>
      </w:r>
      <w:r w:rsidR="00773E0D">
        <w:rPr>
          <w:rFonts w:ascii="Calibri" w:eastAsia="Calibri" w:hAnsi="Calibri" w:cs="Calibri"/>
          <w:sz w:val="24"/>
          <w:szCs w:val="24"/>
        </w:rPr>
        <w:t xml:space="preserve">uidance on protocols necessary to prevent the spread of COVID-19 in restarted project settings. </w:t>
      </w:r>
    </w:p>
    <w:p w14:paraId="15231E94" w14:textId="1D9F4A56" w:rsidR="00DF4D4B" w:rsidRPr="00CE5362" w:rsidRDefault="00D6500E" w:rsidP="00CE536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have any question about the guidance or requirements outlined in this document please reach out to Sara Chavarria, Zach Sbragia, or your GMT portfolio coordinator. </w:t>
      </w:r>
    </w:p>
    <w:p w14:paraId="0FA08F68" w14:textId="3F31391F" w:rsidR="00BD1CAF" w:rsidRPr="00BD1CAF" w:rsidRDefault="1EDF8938" w:rsidP="1EDF8938">
      <w:pPr>
        <w:spacing w:line="240" w:lineRule="auto"/>
        <w:rPr>
          <w:rFonts w:ascii="Calibri" w:eastAsia="Calibri" w:hAnsi="Calibri" w:cs="Calibri"/>
          <w:b/>
          <w:bCs/>
          <w:sz w:val="26"/>
          <w:szCs w:val="26"/>
        </w:rPr>
      </w:pPr>
      <w:r w:rsidRPr="1EDF8938">
        <w:rPr>
          <w:rFonts w:ascii="Calibri" w:eastAsia="Calibri" w:hAnsi="Calibri" w:cs="Calibri"/>
          <w:b/>
          <w:bCs/>
          <w:sz w:val="26"/>
          <w:szCs w:val="26"/>
        </w:rPr>
        <w:t>Clarification of terminology:</w:t>
      </w:r>
    </w:p>
    <w:p w14:paraId="655A31A0" w14:textId="473AA18C" w:rsidR="00BD1CAF" w:rsidRPr="00BD1CAF" w:rsidRDefault="1EDF8938" w:rsidP="1EDF893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1EDF8938">
        <w:rPr>
          <w:rFonts w:ascii="Calibri" w:eastAsia="Calibri" w:hAnsi="Calibri" w:cs="Calibri"/>
          <w:color w:val="000000" w:themeColor="text1"/>
        </w:rPr>
        <w:t xml:space="preserve">We define </w:t>
      </w:r>
      <w:r w:rsidRPr="1EDF8938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funded </w:t>
      </w:r>
      <w:r w:rsidRPr="1EDF8938">
        <w:rPr>
          <w:rFonts w:ascii="Calibri" w:eastAsia="Calibri" w:hAnsi="Calibri" w:cs="Calibri"/>
          <w:color w:val="000000" w:themeColor="text1"/>
        </w:rPr>
        <w:t xml:space="preserve">as all ‘externally funded projects’ (NSF, DOE, foundations, etc.) whether research or programmatic in nature. </w:t>
      </w:r>
    </w:p>
    <w:p w14:paraId="7425B5C2" w14:textId="0871A893" w:rsidR="00BD1CAF" w:rsidRPr="00BD1CAF" w:rsidRDefault="1EDF8938" w:rsidP="1EDF893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1EDF8938">
        <w:rPr>
          <w:rFonts w:ascii="Calibri" w:eastAsia="Calibri" w:hAnsi="Calibri" w:cs="Calibri"/>
          <w:color w:val="000000" w:themeColor="text1"/>
        </w:rPr>
        <w:t xml:space="preserve">We define </w:t>
      </w:r>
      <w:r w:rsidRPr="1EDF8938">
        <w:rPr>
          <w:rFonts w:ascii="Calibri" w:eastAsia="Calibri" w:hAnsi="Calibri" w:cs="Calibri"/>
          <w:b/>
          <w:bCs/>
          <w:color w:val="000000" w:themeColor="text1"/>
          <w:u w:val="single"/>
        </w:rPr>
        <w:t>research</w:t>
      </w:r>
      <w:r w:rsidRPr="1EDF8938">
        <w:rPr>
          <w:rFonts w:ascii="Calibri" w:eastAsia="Calibri" w:hAnsi="Calibri" w:cs="Calibri"/>
          <w:color w:val="000000" w:themeColor="text1"/>
        </w:rPr>
        <w:t xml:space="preserve"> as all research projects, whether funded or unfunded, being conducted by faculty, staff, or students.</w:t>
      </w:r>
    </w:p>
    <w:p w14:paraId="777482BB" w14:textId="42958966" w:rsidR="00BD1CAF" w:rsidRPr="00BD1CAF" w:rsidRDefault="1EDF8938" w:rsidP="1EDF893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1EDF8938">
        <w:rPr>
          <w:rFonts w:ascii="Calibri" w:eastAsia="Calibri" w:hAnsi="Calibri" w:cs="Calibri"/>
          <w:color w:val="000000" w:themeColor="text1"/>
        </w:rPr>
        <w:t xml:space="preserve">We define </w:t>
      </w:r>
      <w:r w:rsidRPr="1EDF8938">
        <w:rPr>
          <w:rFonts w:ascii="Calibri" w:eastAsia="Calibri" w:hAnsi="Calibri" w:cs="Calibri"/>
          <w:b/>
          <w:bCs/>
          <w:color w:val="000000" w:themeColor="text1"/>
          <w:u w:val="single"/>
        </w:rPr>
        <w:t>field work</w:t>
      </w:r>
      <w:r w:rsidRPr="1EDF8938">
        <w:rPr>
          <w:rFonts w:ascii="Calibri" w:eastAsia="Calibri" w:hAnsi="Calibri" w:cs="Calibri"/>
          <w:color w:val="000000" w:themeColor="text1"/>
        </w:rPr>
        <w:t xml:space="preserve"> as any scenario in which our researchers are at an agency/organization or school site.</w:t>
      </w:r>
    </w:p>
    <w:p w14:paraId="31B0613D" w14:textId="2C72A8F1" w:rsidR="00BD1CAF" w:rsidRDefault="1EDF8938" w:rsidP="1EDF893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1EDF8938">
        <w:rPr>
          <w:rFonts w:ascii="Calibri" w:eastAsia="Calibri" w:hAnsi="Calibri" w:cs="Calibri"/>
          <w:color w:val="000000" w:themeColor="text1"/>
        </w:rPr>
        <w:t xml:space="preserve">We define </w:t>
      </w:r>
      <w:r w:rsidRPr="1EDF8938">
        <w:rPr>
          <w:rFonts w:ascii="Calibri" w:eastAsia="Calibri" w:hAnsi="Calibri" w:cs="Calibri"/>
          <w:b/>
          <w:bCs/>
          <w:color w:val="000000" w:themeColor="text1"/>
          <w:u w:val="single"/>
        </w:rPr>
        <w:t>labs</w:t>
      </w:r>
      <w:r w:rsidRPr="1EDF8938">
        <w:rPr>
          <w:rFonts w:ascii="Calibri" w:eastAsia="Calibri" w:hAnsi="Calibri" w:cs="Calibri"/>
          <w:color w:val="000000" w:themeColor="text1"/>
        </w:rPr>
        <w:t xml:space="preserve"> as any project designated shared </w:t>
      </w:r>
      <w:proofErr w:type="gramStart"/>
      <w:r w:rsidRPr="1EDF8938">
        <w:rPr>
          <w:rFonts w:ascii="Calibri" w:eastAsia="Calibri" w:hAnsi="Calibri" w:cs="Calibri"/>
          <w:color w:val="000000" w:themeColor="text1"/>
        </w:rPr>
        <w:t>work space</w:t>
      </w:r>
      <w:proofErr w:type="gramEnd"/>
      <w:r w:rsidRPr="1EDF8938">
        <w:rPr>
          <w:rFonts w:ascii="Calibri" w:eastAsia="Calibri" w:hAnsi="Calibri" w:cs="Calibri"/>
          <w:color w:val="000000" w:themeColor="text1"/>
        </w:rPr>
        <w:t xml:space="preserve"> in which research activities are taking place per funded projects and in which staff, researchers, and students work on said project. This does not include offices.</w:t>
      </w:r>
    </w:p>
    <w:p w14:paraId="1B1C9EFF" w14:textId="3443B74E" w:rsidR="00AA4C3A" w:rsidRPr="00C01E43" w:rsidRDefault="00AA4C3A" w:rsidP="00AA4C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EDF8938">
        <w:rPr>
          <w:rFonts w:ascii="Calibri" w:eastAsia="Calibri" w:hAnsi="Calibri" w:cs="Calibri"/>
          <w:b/>
          <w:bCs/>
          <w:sz w:val="24"/>
          <w:szCs w:val="24"/>
        </w:rPr>
        <w:t>Recommendations for Graduate Students:</w:t>
      </w:r>
    </w:p>
    <w:p w14:paraId="340C555C" w14:textId="77777777" w:rsidR="00AA4C3A" w:rsidRPr="007D3A71" w:rsidRDefault="00AA4C3A" w:rsidP="00AA4C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1EDF8938">
        <w:rPr>
          <w:rFonts w:ascii="Calibri" w:eastAsia="Calibri" w:hAnsi="Calibri" w:cs="Calibri"/>
        </w:rPr>
        <w:t>Review the guidelines with your faculty advisor.</w:t>
      </w:r>
    </w:p>
    <w:p w14:paraId="58337127" w14:textId="77777777" w:rsidR="00AA4C3A" w:rsidRDefault="00AA4C3A" w:rsidP="00AA4C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17F9785A">
        <w:rPr>
          <w:rFonts w:ascii="Calibri" w:eastAsia="Calibri" w:hAnsi="Calibri" w:cs="Calibri"/>
        </w:rPr>
        <w:t>Work with your faculty advisor in order to fill out the Checklist.</w:t>
      </w:r>
    </w:p>
    <w:p w14:paraId="4888D0FD" w14:textId="77777777" w:rsidR="00AA4C3A" w:rsidRDefault="00AA4C3A" w:rsidP="00AA4C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Forms:</w:t>
      </w:r>
    </w:p>
    <w:p w14:paraId="43C6625C" w14:textId="575D9BFB" w:rsidR="00AA4C3A" w:rsidRPr="00AA4C3A" w:rsidRDefault="39D90C46" w:rsidP="39D90C46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39D90C46">
        <w:rPr>
          <w:b/>
          <w:bCs/>
        </w:rPr>
        <w:t>COVID 19 Workplace Risk Management Protocols for Credit-bearing Experiential Learning Activities</w:t>
      </w:r>
      <w:r>
        <w:t xml:space="preserve"> form</w:t>
      </w:r>
    </w:p>
    <w:p w14:paraId="56DAF6C2" w14:textId="77777777" w:rsidR="002B7D9D" w:rsidRPr="002B7D9D" w:rsidRDefault="002B7D9D" w:rsidP="002B7D9D">
      <w:pPr>
        <w:spacing w:after="0" w:line="240" w:lineRule="auto"/>
        <w:ind w:left="1080"/>
        <w:rPr>
          <w:rFonts w:ascii="Calibri" w:eastAsia="Calibri" w:hAnsi="Calibri" w:cs="Calibri"/>
        </w:rPr>
      </w:pPr>
      <w:r w:rsidRPr="002B7D9D">
        <w:t>Or the</w:t>
      </w:r>
      <w:r w:rsidRPr="002B7D9D">
        <w:rPr>
          <w:b/>
        </w:rPr>
        <w:t xml:space="preserve"> </w:t>
      </w:r>
    </w:p>
    <w:p w14:paraId="2CB84534" w14:textId="137BAED4" w:rsidR="00AA4C3A" w:rsidRDefault="00AA4C3A" w:rsidP="00AA4C3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936F78">
        <w:rPr>
          <w:b/>
        </w:rPr>
        <w:t xml:space="preserve">UA Assumption of Risk and Release </w:t>
      </w:r>
      <w:r w:rsidR="009C109D">
        <w:rPr>
          <w:b/>
        </w:rPr>
        <w:t>A</w:t>
      </w:r>
      <w:r w:rsidR="000275C0">
        <w:rPr>
          <w:b/>
        </w:rPr>
        <w:t xml:space="preserve">greement </w:t>
      </w:r>
      <w:r w:rsidRPr="009C109D">
        <w:t>form</w:t>
      </w:r>
      <w:r>
        <w:rPr>
          <w:b/>
        </w:rPr>
        <w:t xml:space="preserve">: </w:t>
      </w:r>
      <w:r w:rsidR="007465A7" w:rsidRPr="007465A7">
        <w:rPr>
          <w:rFonts w:ascii="Calibri" w:eastAsia="Calibri" w:hAnsi="Calibri" w:cs="Calibri"/>
        </w:rPr>
        <w:t>For a copy of this form, please contact Sara Chavarria</w:t>
      </w:r>
      <w:r w:rsidR="007465A7">
        <w:rPr>
          <w:rFonts w:ascii="Calibri" w:eastAsia="Calibri" w:hAnsi="Calibri" w:cs="Calibri"/>
        </w:rPr>
        <w:t>.</w:t>
      </w:r>
      <w:r w:rsidR="002B7D9D">
        <w:rPr>
          <w:rFonts w:ascii="Calibri" w:eastAsia="Calibri" w:hAnsi="Calibri" w:cs="Calibri"/>
        </w:rPr>
        <w:t xml:space="preserve"> (unique situations)</w:t>
      </w:r>
    </w:p>
    <w:p w14:paraId="2EE4D06D" w14:textId="77777777" w:rsidR="00AA4C3A" w:rsidRDefault="00AA4C3A" w:rsidP="00AA4C3A">
      <w:pPr>
        <w:rPr>
          <w:rFonts w:ascii="Calibri" w:hAnsi="Calibri" w:cs="Calibri"/>
          <w:b/>
          <w:bCs/>
        </w:rPr>
      </w:pPr>
    </w:p>
    <w:p w14:paraId="3D240142" w14:textId="38F3AB3F" w:rsidR="002B08A0" w:rsidRPr="00DF4D4B" w:rsidRDefault="002B08A0">
      <w:pPr>
        <w:rPr>
          <w:rFonts w:ascii="Calibri" w:hAnsi="Calibri" w:cs="Calibri"/>
          <w:b/>
          <w:bCs/>
        </w:rPr>
      </w:pPr>
      <w:r w:rsidRPr="002B08A0">
        <w:rPr>
          <w:rFonts w:ascii="Calibri" w:hAnsi="Calibri" w:cs="Calibri"/>
          <w:sz w:val="24"/>
          <w:szCs w:val="24"/>
        </w:rPr>
        <w:br w:type="page"/>
      </w:r>
    </w:p>
    <w:p w14:paraId="119E7FCA" w14:textId="5E255AA0" w:rsidR="000A7C7D" w:rsidRDefault="00090319" w:rsidP="00A4240A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Part </w:t>
      </w:r>
      <w:r w:rsidR="00E333A3">
        <w:rPr>
          <w:rFonts w:ascii="Calibri" w:hAnsi="Calibri" w:cs="Calibri"/>
          <w:b/>
          <w:bCs/>
          <w:sz w:val="24"/>
          <w:szCs w:val="24"/>
        </w:rPr>
        <w:t>1</w:t>
      </w:r>
      <w:r w:rsidR="00476D16">
        <w:rPr>
          <w:rFonts w:ascii="Calibri" w:hAnsi="Calibri" w:cs="Calibri"/>
          <w:b/>
          <w:bCs/>
          <w:sz w:val="24"/>
          <w:szCs w:val="24"/>
        </w:rPr>
        <w:t>-</w:t>
      </w:r>
      <w:r w:rsidR="002B7D9D">
        <w:rPr>
          <w:rFonts w:ascii="Calibri" w:hAnsi="Calibri" w:cs="Calibri"/>
          <w:b/>
          <w:bCs/>
          <w:sz w:val="24"/>
          <w:szCs w:val="24"/>
        </w:rPr>
        <w:t>College of Education Re-Entry Considerations</w:t>
      </w:r>
      <w:r w:rsidR="000266F0"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55"/>
        <w:gridCol w:w="8820"/>
      </w:tblGrid>
      <w:tr w:rsidR="00DE1F71" w14:paraId="1372E4DB" w14:textId="77777777" w:rsidTr="00227D0E">
        <w:tc>
          <w:tcPr>
            <w:tcW w:w="1255" w:type="dxa"/>
          </w:tcPr>
          <w:p w14:paraId="30389D6D" w14:textId="00D1AD1F" w:rsidR="00DE1F71" w:rsidRDefault="00DE1F71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Procedure</w:t>
            </w:r>
          </w:p>
        </w:tc>
        <w:tc>
          <w:tcPr>
            <w:tcW w:w="8820" w:type="dxa"/>
          </w:tcPr>
          <w:p w14:paraId="06FC2DBA" w14:textId="10282C13" w:rsidR="00DE1F71" w:rsidRDefault="00DE1F71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Description</w:t>
            </w:r>
          </w:p>
        </w:tc>
      </w:tr>
      <w:tr w:rsidR="00DE1F71" w14:paraId="611B245E" w14:textId="77777777" w:rsidTr="00227D0E">
        <w:tc>
          <w:tcPr>
            <w:tcW w:w="1255" w:type="dxa"/>
          </w:tcPr>
          <w:p w14:paraId="39C26672" w14:textId="189031B1" w:rsidR="00DE1F71" w:rsidRDefault="00E42135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55905613"/>
            <w:r w:rsidRPr="2DCA2C3B">
              <w:rPr>
                <w:b/>
                <w:bCs/>
                <w:color w:val="0070C0"/>
              </w:rPr>
              <w:t>1.1</w:t>
            </w:r>
            <w:bookmarkEnd w:id="0"/>
          </w:p>
        </w:tc>
        <w:tc>
          <w:tcPr>
            <w:tcW w:w="8820" w:type="dxa"/>
          </w:tcPr>
          <w:p w14:paraId="77D0AE41" w14:textId="77777777" w:rsidR="00DE1F71" w:rsidRDefault="00E42135" w:rsidP="00DE1F7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Fill out re-entry checklist for </w:t>
            </w:r>
            <w:bookmarkStart w:id="1" w:name="_Hlk55905520"/>
            <w:r>
              <w:rPr>
                <w:b/>
                <w:bCs/>
                <w:color w:val="0070C0"/>
              </w:rPr>
              <w:t>all r</w:t>
            </w:r>
            <w:bookmarkEnd w:id="1"/>
            <w:r>
              <w:rPr>
                <w:b/>
                <w:bCs/>
                <w:color w:val="0070C0"/>
              </w:rPr>
              <w:t>ese</w:t>
            </w:r>
            <w:bookmarkStart w:id="2" w:name="_Hlk55905527"/>
            <w:r>
              <w:rPr>
                <w:b/>
                <w:bCs/>
                <w:color w:val="0070C0"/>
              </w:rPr>
              <w:t xml:space="preserve">arch </w:t>
            </w:r>
            <w:bookmarkEnd w:id="2"/>
            <w:r>
              <w:rPr>
                <w:b/>
                <w:bCs/>
                <w:color w:val="0070C0"/>
              </w:rPr>
              <w:t>or funded projects.</w:t>
            </w:r>
          </w:p>
          <w:p w14:paraId="469D9854" w14:textId="77777777" w:rsidR="00E42135" w:rsidRDefault="00E42135" w:rsidP="00DE1F71">
            <w:pPr>
              <w:rPr>
                <w:b/>
                <w:bCs/>
                <w:color w:val="0070C0"/>
              </w:rPr>
            </w:pPr>
          </w:p>
          <w:p w14:paraId="66959866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  <w:r w:rsidRPr="00E42135">
              <w:rPr>
                <w:rFonts w:ascii="Calibri" w:hAnsi="Calibri" w:cs="Calibri"/>
              </w:rPr>
              <w:t>Phase 1: Situation unknown and changing – essential research only</w:t>
            </w:r>
          </w:p>
          <w:p w14:paraId="140477BE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</w:p>
          <w:p w14:paraId="0A728314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  <w:r w:rsidRPr="00E42135">
              <w:rPr>
                <w:rFonts w:ascii="Calibri" w:hAnsi="Calibri" w:cs="Calibri"/>
              </w:rPr>
              <w:t>Phase 2: Essential research only – waivers issued for loss of catastrophic data research; all digital research possible</w:t>
            </w:r>
          </w:p>
          <w:p w14:paraId="661B3B94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</w:p>
          <w:p w14:paraId="3DC98823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  <w:r w:rsidRPr="00E42135">
              <w:rPr>
                <w:rFonts w:ascii="Calibri" w:hAnsi="Calibri" w:cs="Calibri"/>
              </w:rPr>
              <w:t xml:space="preserve">Phase 3: Deadline-driven research activities opened. Partner agencies begin to open. Field research: expand approvals depending on what current restrictions are in the counties where field research is to be conducted. </w:t>
            </w:r>
          </w:p>
          <w:p w14:paraId="77788BB7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</w:p>
          <w:p w14:paraId="6694E5FC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  <w:r w:rsidRPr="00E42135">
              <w:rPr>
                <w:rFonts w:ascii="Calibri" w:hAnsi="Calibri" w:cs="Calibri"/>
              </w:rPr>
              <w:t xml:space="preserve">Definition of “essential” relaxed to include time-sensitive research including research with grant-funded deadlines and longer-term projects with short term deadlines and milestones, and some face-to-face research.  </w:t>
            </w:r>
          </w:p>
          <w:p w14:paraId="7947F426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</w:p>
          <w:p w14:paraId="586E3C75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  <w:r w:rsidRPr="00E42135">
              <w:rPr>
                <w:rFonts w:ascii="Calibri" w:hAnsi="Calibri" w:cs="Calibri"/>
              </w:rPr>
              <w:t>Phase 4: Must maintain distancing, not exceed the max occupancy per building and require the use of symptom query and Bluetooth contact tracing apps. Field Research - expand on a case-by-case basis (depending on local conditions/restrictions at field sites, travel restrictions, ability to travel safely, and ability to physically distance at field sites). Plans for sudden return to Phase 1, 2, or 3 are in place</w:t>
            </w:r>
          </w:p>
          <w:p w14:paraId="181228A7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</w:p>
          <w:p w14:paraId="0BAE4179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  <w:r w:rsidRPr="00E42135">
              <w:rPr>
                <w:rFonts w:ascii="Calibri" w:hAnsi="Calibri" w:cs="Calibri"/>
              </w:rPr>
              <w:t>Phase 5: Access to offices allowed generally, with attention to cleaning and distancing. Access to libraries, collections, studio spaces, performance spaces, and labs with distancing and the disinfection of materials. Field Research - further expand on case-by-case basis (depending on local conditions/restrictions at field sites, travel restrictions, ability to travel safely and ability to physically distance at field sites) Little restrictions. Distance protocols loosened.</w:t>
            </w:r>
          </w:p>
          <w:p w14:paraId="37127847" w14:textId="77777777" w:rsidR="00E42135" w:rsidRPr="00E42135" w:rsidRDefault="00E42135" w:rsidP="00E42135">
            <w:pPr>
              <w:rPr>
                <w:rFonts w:ascii="Calibri" w:hAnsi="Calibri" w:cs="Calibri"/>
              </w:rPr>
            </w:pPr>
          </w:p>
          <w:p w14:paraId="5A9D13E8" w14:textId="436B41BC" w:rsidR="00E42135" w:rsidRDefault="00E42135" w:rsidP="00E42135">
            <w:pPr>
              <w:rPr>
                <w:rFonts w:ascii="Calibri" w:hAnsi="Calibri" w:cs="Calibri"/>
              </w:rPr>
            </w:pPr>
            <w:r w:rsidRPr="00E42135">
              <w:rPr>
                <w:rFonts w:ascii="Calibri" w:hAnsi="Calibri" w:cs="Calibri"/>
              </w:rPr>
              <w:t>Phase 6: pre-COVID-19 scenario- no restrictions. Normal.</w:t>
            </w:r>
          </w:p>
          <w:p w14:paraId="04C5AA7C" w14:textId="2E29FAB7" w:rsidR="00227D0E" w:rsidRDefault="00227D0E" w:rsidP="00E42135">
            <w:pPr>
              <w:rPr>
                <w:rFonts w:ascii="Calibri" w:hAnsi="Calibri" w:cs="Calibri"/>
              </w:rPr>
            </w:pPr>
          </w:p>
          <w:p w14:paraId="1B8403A4" w14:textId="6CEBC9D0" w:rsidR="00227D0E" w:rsidRDefault="00227D0E" w:rsidP="00E42135">
            <w:pPr>
              <w:rPr>
                <w:b/>
                <w:bCs/>
                <w:color w:val="0070C0"/>
              </w:rPr>
            </w:pPr>
            <w:bookmarkStart w:id="3" w:name="_Hlk55905649"/>
            <w:r>
              <w:rPr>
                <w:b/>
                <w:bCs/>
                <w:color w:val="0070C0"/>
              </w:rPr>
              <w:t>Logistics</w:t>
            </w:r>
            <w:bookmarkEnd w:id="3"/>
            <w:r>
              <w:rPr>
                <w:b/>
                <w:bCs/>
                <w:color w:val="0070C0"/>
              </w:rPr>
              <w:t>:</w:t>
            </w:r>
          </w:p>
          <w:p w14:paraId="2CAA2501" w14:textId="77777777" w:rsidR="00227D0E" w:rsidRPr="00E42135" w:rsidRDefault="00227D0E" w:rsidP="00E42135">
            <w:pPr>
              <w:rPr>
                <w:rFonts w:ascii="Calibri" w:hAnsi="Calibri" w:cs="Calibri"/>
              </w:rPr>
            </w:pPr>
          </w:p>
          <w:p w14:paraId="0F98CC72" w14:textId="45AE98D7" w:rsidR="00227D0E" w:rsidRDefault="00227D0E" w:rsidP="00227D0E">
            <w:pPr>
              <w:rPr>
                <w:rFonts w:ascii="Calibri" w:hAnsi="Calibri" w:cs="Calibri"/>
              </w:rPr>
            </w:pPr>
            <w:r w:rsidRPr="00227D0E">
              <w:rPr>
                <w:rFonts w:ascii="Calibri" w:hAnsi="Calibri" w:cs="Calibri"/>
              </w:rPr>
              <w:t xml:space="preserve">Step 1: RII Research Checklist found at: </w:t>
            </w:r>
            <w:hyperlink r:id="rId7" w:history="1">
              <w:r w:rsidRPr="002757C3">
                <w:rPr>
                  <w:rStyle w:val="Hyperlink"/>
                  <w:rFonts w:ascii="Calibri" w:hAnsi="Calibri" w:cs="Calibri"/>
                </w:rPr>
                <w:t>https://research.arizona.edu/covid19/research-restart</w:t>
              </w:r>
            </w:hyperlink>
          </w:p>
          <w:p w14:paraId="2D8A3534" w14:textId="77777777" w:rsidR="00227D0E" w:rsidRPr="00227D0E" w:rsidRDefault="00227D0E" w:rsidP="00227D0E">
            <w:pPr>
              <w:rPr>
                <w:rFonts w:ascii="Calibri" w:hAnsi="Calibri" w:cs="Calibri"/>
              </w:rPr>
            </w:pPr>
          </w:p>
          <w:p w14:paraId="73E7EA82" w14:textId="77777777" w:rsidR="00227D0E" w:rsidRPr="00227D0E" w:rsidRDefault="00227D0E" w:rsidP="00227D0E">
            <w:pPr>
              <w:rPr>
                <w:rFonts w:ascii="Calibri" w:hAnsi="Calibri" w:cs="Calibri"/>
              </w:rPr>
            </w:pPr>
            <w:r w:rsidRPr="00227D0E">
              <w:rPr>
                <w:rFonts w:ascii="Calibri" w:hAnsi="Calibri" w:cs="Calibri"/>
              </w:rPr>
              <w:t>To prepare for filling out checklist: please use word version as a practice. In addition, before the Research Dean can approve the digital checklist for lab or field research activity:</w:t>
            </w:r>
          </w:p>
          <w:p w14:paraId="231C66CD" w14:textId="77777777" w:rsidR="00227D0E" w:rsidRPr="00227D0E" w:rsidRDefault="00227D0E" w:rsidP="00227D0E">
            <w:pPr>
              <w:rPr>
                <w:rFonts w:ascii="Calibri" w:hAnsi="Calibri" w:cs="Calibri"/>
              </w:rPr>
            </w:pPr>
            <w:r w:rsidRPr="00227D0E">
              <w:rPr>
                <w:rFonts w:ascii="Calibri" w:hAnsi="Calibri" w:cs="Calibri"/>
              </w:rPr>
              <w:t xml:space="preserve">-Each PI must fill out the COE Research Restart Plan (form) outlining their safety plan. </w:t>
            </w:r>
          </w:p>
          <w:p w14:paraId="71E108CA" w14:textId="13A09DC4" w:rsidR="00E42135" w:rsidRDefault="00227D0E" w:rsidP="00227D0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7D0E">
              <w:rPr>
                <w:rFonts w:ascii="Calibri" w:hAnsi="Calibri" w:cs="Calibri"/>
              </w:rPr>
              <w:t>-Each member of the team must file a COE Research Restart Agreement form after reading the COE Research Restart Plan.</w:t>
            </w:r>
          </w:p>
        </w:tc>
      </w:tr>
      <w:tr w:rsidR="00DE1F71" w14:paraId="7C49C696" w14:textId="77777777" w:rsidTr="00227D0E">
        <w:tc>
          <w:tcPr>
            <w:tcW w:w="1255" w:type="dxa"/>
          </w:tcPr>
          <w:p w14:paraId="694F1512" w14:textId="75FCACDE" w:rsidR="00DE1F71" w:rsidRDefault="00F95870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4" w:name="_Hlk55905673"/>
            <w:r w:rsidRPr="2DCA2C3B">
              <w:rPr>
                <w:b/>
                <w:bCs/>
                <w:color w:val="0070C0"/>
              </w:rPr>
              <w:t>1.</w:t>
            </w:r>
            <w:r>
              <w:rPr>
                <w:b/>
                <w:bCs/>
                <w:color w:val="0070C0"/>
              </w:rPr>
              <w:t>2</w:t>
            </w:r>
            <w:bookmarkEnd w:id="4"/>
          </w:p>
        </w:tc>
        <w:tc>
          <w:tcPr>
            <w:tcW w:w="8820" w:type="dxa"/>
          </w:tcPr>
          <w:p w14:paraId="6DCC80C8" w14:textId="77777777" w:rsidR="00DE1F71" w:rsidRDefault="00FD161C" w:rsidP="00DE1F7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Identify if your research/project is fully digital.</w:t>
            </w:r>
          </w:p>
          <w:p w14:paraId="09E12ABA" w14:textId="77777777" w:rsidR="00FD161C" w:rsidRDefault="00FD161C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C647E30" w14:textId="77777777" w:rsidR="00FD161C" w:rsidRDefault="00FD161C" w:rsidP="00DE1F71">
            <w:r>
              <w:t xml:space="preserve">Determine technology needs for faculty, staff, </w:t>
            </w:r>
            <w:proofErr w:type="spellStart"/>
            <w:r>
              <w:t>UArizona</w:t>
            </w:r>
            <w:proofErr w:type="spellEnd"/>
            <w:r>
              <w:t xml:space="preserve"> students and participants.</w:t>
            </w:r>
          </w:p>
          <w:p w14:paraId="3AABEE92" w14:textId="77777777" w:rsidR="00FD161C" w:rsidRDefault="00FD161C" w:rsidP="00DE1F7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604316" w14:textId="77777777" w:rsidR="00FD161C" w:rsidRDefault="00FD161C" w:rsidP="00DE1F71">
            <w:pPr>
              <w:rPr>
                <w:b/>
                <w:bCs/>
                <w:color w:val="0070C0"/>
              </w:rPr>
            </w:pPr>
            <w:bookmarkStart w:id="5" w:name="_Hlk55905710"/>
            <w:r>
              <w:rPr>
                <w:b/>
                <w:bCs/>
                <w:color w:val="0070C0"/>
              </w:rPr>
              <w:t>Logistics:</w:t>
            </w:r>
          </w:p>
          <w:bookmarkEnd w:id="5"/>
          <w:p w14:paraId="38EB35BE" w14:textId="0EB8D3C1" w:rsidR="00FD161C" w:rsidRDefault="00FD161C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833AFD9" w14:textId="77777777" w:rsidR="00FD161C" w:rsidRDefault="00FD161C" w:rsidP="00FD161C">
            <w:r>
              <w:t>Determine current state of technology for all users.</w:t>
            </w:r>
          </w:p>
          <w:p w14:paraId="19E83519" w14:textId="4944B3DF" w:rsidR="00FD161C" w:rsidRDefault="00FD161C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lastRenderedPageBreak/>
              <w:t>Supply computers and other needed technology for any project member needing assistance.</w:t>
            </w:r>
          </w:p>
        </w:tc>
      </w:tr>
      <w:tr w:rsidR="00DE1F71" w14:paraId="507A08E5" w14:textId="77777777" w:rsidTr="00227D0E">
        <w:tc>
          <w:tcPr>
            <w:tcW w:w="1255" w:type="dxa"/>
          </w:tcPr>
          <w:p w14:paraId="355465C6" w14:textId="1E0B0564" w:rsidR="00DE1F71" w:rsidRDefault="00FD161C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DCA2C3B">
              <w:rPr>
                <w:b/>
                <w:bCs/>
                <w:color w:val="0070C0"/>
              </w:rPr>
              <w:lastRenderedPageBreak/>
              <w:t>1.</w:t>
            </w:r>
            <w:r>
              <w:rPr>
                <w:b/>
                <w:bCs/>
                <w:color w:val="0070C0"/>
              </w:rPr>
              <w:t>3</w:t>
            </w:r>
          </w:p>
        </w:tc>
        <w:tc>
          <w:tcPr>
            <w:tcW w:w="8820" w:type="dxa"/>
          </w:tcPr>
          <w:p w14:paraId="4367C3BD" w14:textId="77777777" w:rsidR="00DE1F71" w:rsidRDefault="00E12793" w:rsidP="00DE1F71">
            <w:pPr>
              <w:rPr>
                <w:b/>
                <w:bCs/>
                <w:color w:val="0070C0"/>
              </w:rPr>
            </w:pPr>
            <w:r w:rsidRPr="002B7D9D">
              <w:rPr>
                <w:color w:val="0070C0"/>
              </w:rPr>
              <w:t>Graduate Student and Research:</w:t>
            </w:r>
            <w:r>
              <w:rPr>
                <w:b/>
                <w:bCs/>
                <w:color w:val="0070C0"/>
              </w:rPr>
              <w:t xml:space="preserve"> schedule a review with your faculty advisor to go over these research restart protocols</w:t>
            </w:r>
          </w:p>
          <w:p w14:paraId="1BD5229D" w14:textId="77777777" w:rsidR="00E12793" w:rsidRDefault="00E12793" w:rsidP="00DE1F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FC7A1F0" w14:textId="77777777" w:rsidR="00E12793" w:rsidRPr="00466BB2" w:rsidRDefault="00E12793" w:rsidP="00E12793">
            <w:pPr>
              <w:rPr>
                <w:color w:val="000000" w:themeColor="text1"/>
              </w:rPr>
            </w:pPr>
            <w:r w:rsidRPr="00466BB2">
              <w:t>Faculty advisor</w:t>
            </w:r>
            <w:r>
              <w:t xml:space="preserve"> or graduate student</w:t>
            </w:r>
            <w:r w:rsidRPr="00466BB2">
              <w:t xml:space="preserve"> schedule meeting to </w:t>
            </w:r>
            <w:r>
              <w:t>think</w:t>
            </w:r>
            <w:r w:rsidRPr="00466BB2">
              <w:t xml:space="preserve"> through filling out the checklist. If project is fully online, graduate student can follow </w:t>
            </w:r>
            <w:r>
              <w:rPr>
                <w:i/>
                <w:color w:val="0070C0"/>
              </w:rPr>
              <w:t>Procedure 1.2</w:t>
            </w:r>
            <w:r w:rsidRPr="00466BB2">
              <w:rPr>
                <w:i/>
                <w:color w:val="0070C0"/>
              </w:rPr>
              <w:t xml:space="preserve"> </w:t>
            </w:r>
            <w:r w:rsidRPr="00466BB2">
              <w:rPr>
                <w:color w:val="000000" w:themeColor="text1"/>
              </w:rPr>
              <w:t>guidance.</w:t>
            </w:r>
          </w:p>
          <w:p w14:paraId="589C6913" w14:textId="77777777" w:rsidR="00E12793" w:rsidRPr="00466BB2" w:rsidRDefault="00E12793" w:rsidP="00E12793">
            <w:r w:rsidRPr="00466BB2">
              <w:t xml:space="preserve">1-Need to make sure that if going digital/remote, that avenue be fully </w:t>
            </w:r>
            <w:proofErr w:type="gramStart"/>
            <w:r w:rsidRPr="00466BB2">
              <w:t>explored</w:t>
            </w:r>
            <w:proofErr w:type="gramEnd"/>
            <w:r w:rsidRPr="00466BB2">
              <w:t xml:space="preserve"> and research adapted to this approach.</w:t>
            </w:r>
          </w:p>
          <w:p w14:paraId="0377E588" w14:textId="77777777" w:rsidR="00E12793" w:rsidRPr="00466BB2" w:rsidRDefault="00E12793" w:rsidP="00E12793">
            <w:r w:rsidRPr="00466BB2">
              <w:t>2-Need to make sure graduate students in high risk categories have remote project options.</w:t>
            </w:r>
          </w:p>
          <w:p w14:paraId="29AD4DE7" w14:textId="77777777" w:rsidR="00E12793" w:rsidRPr="00466BB2" w:rsidRDefault="00E12793" w:rsidP="00E12793">
            <w:r w:rsidRPr="00466BB2">
              <w:t>3-Need to make sure graduate students that do not feel safe have remote project options.</w:t>
            </w:r>
          </w:p>
          <w:p w14:paraId="789252EF" w14:textId="77777777" w:rsidR="00E12793" w:rsidRPr="00466BB2" w:rsidRDefault="00E12793" w:rsidP="00E12793">
            <w:r w:rsidRPr="00466BB2">
              <w:t>4-Need to make sure graduate students are not feeling pressure to do this in order to get their degrees and therefore explore other approaches.</w:t>
            </w:r>
          </w:p>
          <w:p w14:paraId="31885B18" w14:textId="77777777" w:rsidR="00E12793" w:rsidRDefault="00E12793" w:rsidP="00E12793">
            <w:pPr>
              <w:rPr>
                <w:color w:val="000000" w:themeColor="text1"/>
              </w:rPr>
            </w:pPr>
            <w:r w:rsidRPr="00466BB2">
              <w:t xml:space="preserve">5-If going into field contexts, please follow </w:t>
            </w:r>
            <w:r>
              <w:rPr>
                <w:i/>
                <w:color w:val="0070C0"/>
              </w:rPr>
              <w:t>Procedure 1.5</w:t>
            </w:r>
            <w:r w:rsidRPr="00466BB2">
              <w:rPr>
                <w:color w:val="000000" w:themeColor="text1"/>
              </w:rPr>
              <w:t xml:space="preserve"> guidance and MINIMIZE CONTACT AND REDUCE OVERCROWDING and MINIMIZETRANSMISSION sections of this guidance.</w:t>
            </w:r>
          </w:p>
          <w:p w14:paraId="55ECD51F" w14:textId="77777777" w:rsidR="00E12793" w:rsidRDefault="00E12793" w:rsidP="00E12793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7E0D53D" w14:textId="77777777" w:rsidR="00E12793" w:rsidRDefault="00E12793" w:rsidP="00E12793">
            <w:pPr>
              <w:rPr>
                <w:b/>
                <w:bCs/>
                <w:color w:val="0070C0"/>
              </w:rPr>
            </w:pPr>
            <w:bookmarkStart w:id="6" w:name="_Hlk55905771"/>
            <w:r>
              <w:rPr>
                <w:b/>
                <w:bCs/>
                <w:color w:val="0070C0"/>
              </w:rPr>
              <w:t>Logistics:</w:t>
            </w:r>
          </w:p>
          <w:bookmarkEnd w:id="6"/>
          <w:p w14:paraId="6ADE2133" w14:textId="77777777" w:rsidR="00E12793" w:rsidRDefault="00E12793" w:rsidP="00E1279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079256B" w14:textId="77777777" w:rsidR="00E12793" w:rsidRDefault="00E12793" w:rsidP="00E12793">
            <w:r>
              <w:t>Meet with faculty advisor to go through checklist items before filing. See other categories specific to research scenario for guidance.</w:t>
            </w:r>
          </w:p>
          <w:p w14:paraId="529D5C8B" w14:textId="77777777" w:rsidR="00E12793" w:rsidRDefault="00E12793" w:rsidP="00E12793"/>
          <w:p w14:paraId="01D12B62" w14:textId="79F41383" w:rsidR="00E12793" w:rsidRDefault="00E12793" w:rsidP="00E1279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4DDE">
              <w:t xml:space="preserve">Students </w:t>
            </w:r>
            <w:r>
              <w:t xml:space="preserve">will have access to the </w:t>
            </w:r>
            <w:r w:rsidRPr="00716207">
              <w:rPr>
                <w:b/>
              </w:rPr>
              <w:t>Recommended COVID-19 Workplace Risk Management Protocols for Credit-bearing Experiential Learning Activities</w:t>
            </w:r>
            <w:r>
              <w:rPr>
                <w:b/>
                <w:bCs/>
              </w:rPr>
              <w:t xml:space="preserve"> </w:t>
            </w:r>
            <w:r w:rsidRPr="00716207">
              <w:t>form</w:t>
            </w:r>
            <w:r>
              <w:t xml:space="preserve"> OR to the </w:t>
            </w:r>
            <w:r w:rsidRPr="00936F78">
              <w:rPr>
                <w:b/>
              </w:rPr>
              <w:t>UA Assumption of Risk and Release</w:t>
            </w:r>
            <w:r>
              <w:rPr>
                <w:b/>
              </w:rPr>
              <w:t xml:space="preserve"> Agreement</w:t>
            </w:r>
            <w:r w:rsidRPr="00936F78">
              <w:rPr>
                <w:b/>
              </w:rPr>
              <w:t xml:space="preserve"> </w:t>
            </w:r>
            <w:r w:rsidRPr="000275C0">
              <w:t xml:space="preserve">form </w:t>
            </w:r>
            <w:r w:rsidRPr="00384DDE">
              <w:t>to review</w:t>
            </w:r>
            <w:r>
              <w:t>,</w:t>
            </w:r>
            <w:r w:rsidRPr="00384DDE">
              <w:t xml:space="preserve"> be informed of risks</w:t>
            </w:r>
            <w:r>
              <w:t>, and submit - in order to conduct their work</w:t>
            </w:r>
            <w:r w:rsidRPr="00384DDE">
              <w:t xml:space="preserve">. </w:t>
            </w:r>
            <w:r>
              <w:t>This process will allow students to consider an alternative plan, if the risks are too high.</w:t>
            </w:r>
          </w:p>
        </w:tc>
      </w:tr>
      <w:tr w:rsidR="00040FE2" w14:paraId="103DE0D1" w14:textId="77777777" w:rsidTr="00227D0E">
        <w:tc>
          <w:tcPr>
            <w:tcW w:w="1255" w:type="dxa"/>
          </w:tcPr>
          <w:p w14:paraId="74B41F2B" w14:textId="48AEBD60" w:rsidR="00040FE2" w:rsidRDefault="00040FE2" w:rsidP="00040F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7" w:name="_Hlk55905824"/>
            <w:r w:rsidRPr="2DCA2C3B">
              <w:rPr>
                <w:b/>
                <w:bCs/>
                <w:color w:val="0070C0"/>
              </w:rPr>
              <w:t>1.</w:t>
            </w:r>
            <w:r>
              <w:rPr>
                <w:b/>
                <w:bCs/>
                <w:color w:val="0070C0"/>
              </w:rPr>
              <w:t>4</w:t>
            </w:r>
            <w:bookmarkEnd w:id="7"/>
          </w:p>
        </w:tc>
        <w:tc>
          <w:tcPr>
            <w:tcW w:w="8820" w:type="dxa"/>
          </w:tcPr>
          <w:p w14:paraId="13B1F0EC" w14:textId="77777777" w:rsidR="00040FE2" w:rsidRDefault="00040FE2" w:rsidP="00040FE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Identify if your research/project takes place in a research lab.</w:t>
            </w:r>
          </w:p>
          <w:p w14:paraId="028C2B14" w14:textId="77777777" w:rsidR="00040FE2" w:rsidRDefault="00040FE2" w:rsidP="00040F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C3A9594" w14:textId="77777777" w:rsidR="00040FE2" w:rsidRDefault="00040FE2" w:rsidP="00040FE2">
            <w:r>
              <w:t>Determine protocols and guidance for working in your research lab.</w:t>
            </w:r>
          </w:p>
          <w:p w14:paraId="6D60A591" w14:textId="77777777" w:rsidR="00040FE2" w:rsidRDefault="00040FE2" w:rsidP="00040FE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1B0014" w14:textId="77777777" w:rsidR="00040FE2" w:rsidRDefault="00040FE2" w:rsidP="00040FE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Logistics:</w:t>
            </w:r>
          </w:p>
          <w:p w14:paraId="664245D9" w14:textId="77777777" w:rsidR="00040FE2" w:rsidRDefault="00040FE2" w:rsidP="00040F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A554BFA" w14:textId="77777777" w:rsidR="00442ED5" w:rsidRDefault="00442ED5" w:rsidP="00442ED5">
            <w:r>
              <w:t xml:space="preserve">1: Set up lab schedules/shifts for who has access and when. Determine lab protocols for safety (physical distancing, PPE, sanitizing,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  <w:p w14:paraId="55506805" w14:textId="77777777" w:rsidR="00442ED5" w:rsidRDefault="00442ED5" w:rsidP="00442ED5">
            <w:r>
              <w:t xml:space="preserve">2: Set up individual clipboards (visible on wall) that each member can check in/out to keep track of who was in when. </w:t>
            </w:r>
          </w:p>
          <w:p w14:paraId="08B37C7C" w14:textId="77777777" w:rsidR="00442ED5" w:rsidRDefault="00442ED5" w:rsidP="00442ED5">
            <w:r>
              <w:t xml:space="preserve">3: Post safety protocols visibly inside lab. </w:t>
            </w:r>
          </w:p>
          <w:p w14:paraId="3D1CADA1" w14:textId="68BB4D67" w:rsidR="00040FE2" w:rsidRDefault="00442ED5" w:rsidP="00442ED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4: Post occupancy information on outer side of door.</w:t>
            </w:r>
          </w:p>
        </w:tc>
      </w:tr>
      <w:tr w:rsidR="00040FE2" w14:paraId="646060BD" w14:textId="77777777" w:rsidTr="00227D0E">
        <w:tc>
          <w:tcPr>
            <w:tcW w:w="1255" w:type="dxa"/>
          </w:tcPr>
          <w:p w14:paraId="30E677E9" w14:textId="0DFBE62B" w:rsidR="00040FE2" w:rsidRDefault="00C31DE5" w:rsidP="00040F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DCA2C3B">
              <w:rPr>
                <w:b/>
                <w:bCs/>
                <w:color w:val="0070C0"/>
              </w:rPr>
              <w:t>1.</w:t>
            </w:r>
            <w:r>
              <w:rPr>
                <w:b/>
                <w:bCs/>
                <w:color w:val="0070C0"/>
              </w:rPr>
              <w:t>5</w:t>
            </w:r>
          </w:p>
        </w:tc>
        <w:tc>
          <w:tcPr>
            <w:tcW w:w="8820" w:type="dxa"/>
          </w:tcPr>
          <w:p w14:paraId="7090C5E0" w14:textId="77777777" w:rsidR="00040FE2" w:rsidRDefault="00C31DE5" w:rsidP="00040FE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Identify if your research/project takes place at a field site (ex: classrooms, public rooms, agencies)</w:t>
            </w:r>
          </w:p>
          <w:p w14:paraId="1FC3FB24" w14:textId="77777777" w:rsidR="00C31DE5" w:rsidRDefault="00C31DE5" w:rsidP="00040F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75B8A6C" w14:textId="77777777" w:rsidR="00C31DE5" w:rsidRDefault="00C31DE5" w:rsidP="00C31DE5">
            <w:r>
              <w:t xml:space="preserve">Determine protocols and guidance for working in the field or field spaces. </w:t>
            </w:r>
          </w:p>
          <w:p w14:paraId="5DDA05FB" w14:textId="77777777" w:rsidR="00C31DE5" w:rsidRDefault="00C31DE5" w:rsidP="00C31DE5">
            <w:r>
              <w:t>-Paperwork to gain access to the classroom/space during COVID-19 scenario.</w:t>
            </w:r>
          </w:p>
          <w:p w14:paraId="10246998" w14:textId="77777777" w:rsidR="00C31DE5" w:rsidRDefault="00C31DE5" w:rsidP="00C31DE5">
            <w:r>
              <w:t>-Determine what materials you will need to be hosted by the partner organization/agency (PPE, cleaning materials, designated spot to work from – taped off)</w:t>
            </w:r>
          </w:p>
          <w:p w14:paraId="5FF3A5E9" w14:textId="77777777" w:rsidR="00C31DE5" w:rsidRDefault="00C31DE5" w:rsidP="00C31DE5"/>
          <w:p w14:paraId="2130D69B" w14:textId="77777777" w:rsidR="00C31DE5" w:rsidRDefault="00C31DE5" w:rsidP="00C31DE5">
            <w:r w:rsidRPr="476F2EB6">
              <w:rPr>
                <w:b/>
                <w:bCs/>
              </w:rPr>
              <w:t>Phase 3:</w:t>
            </w:r>
            <w:r>
              <w:t xml:space="preserve"> </w:t>
            </w:r>
            <w:r w:rsidRPr="476F2EB6">
              <w:t>Field research- expand approvals depending on what current restrictions are in the counties where field research is to be conducted.</w:t>
            </w:r>
          </w:p>
          <w:p w14:paraId="69A5AE8E" w14:textId="77777777" w:rsidR="00C31DE5" w:rsidRDefault="00C31DE5" w:rsidP="00C31DE5">
            <w:r w:rsidRPr="476F2EB6">
              <w:rPr>
                <w:b/>
                <w:bCs/>
              </w:rPr>
              <w:lastRenderedPageBreak/>
              <w:t xml:space="preserve">Phase 4: </w:t>
            </w:r>
            <w:r w:rsidRPr="476F2EB6">
              <w:t>Field Research - expand on a case-by-case basis (depending on local conditions/restrictions at field sites, travel restrictions, ability to travel safely, and ability to physically distance at field sites).</w:t>
            </w:r>
          </w:p>
          <w:p w14:paraId="2812CAE8" w14:textId="77777777" w:rsidR="00C31DE5" w:rsidRDefault="00C31DE5" w:rsidP="00C31DE5">
            <w:r w:rsidRPr="476F2EB6">
              <w:rPr>
                <w:b/>
                <w:bCs/>
              </w:rPr>
              <w:t xml:space="preserve">Phase 5: </w:t>
            </w:r>
            <w:r w:rsidRPr="476F2EB6">
              <w:t>Field Research - further expand on case-by-case basis (depending on local conditions/restrictions at field sites, travel restrictions, ability to travel safely, and ability to physically distance at field sites)</w:t>
            </w:r>
          </w:p>
          <w:p w14:paraId="15B4F977" w14:textId="77777777" w:rsidR="00C31DE5" w:rsidRDefault="00C31DE5" w:rsidP="00C31DE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736F9A" w14:textId="77777777" w:rsidR="00C31DE5" w:rsidRDefault="00C31DE5" w:rsidP="00C31DE5">
            <w:pPr>
              <w:rPr>
                <w:b/>
                <w:bCs/>
                <w:color w:val="0070C0"/>
              </w:rPr>
            </w:pPr>
            <w:bookmarkStart w:id="8" w:name="_Hlk55906042"/>
            <w:r>
              <w:rPr>
                <w:b/>
                <w:bCs/>
                <w:color w:val="0070C0"/>
              </w:rPr>
              <w:t>Logistics:</w:t>
            </w:r>
          </w:p>
          <w:bookmarkEnd w:id="8"/>
          <w:p w14:paraId="5EDE9865" w14:textId="77777777" w:rsidR="00C31DE5" w:rsidRDefault="00C31DE5" w:rsidP="00C31DE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1E5A6D8" w14:textId="77777777" w:rsidR="00E31C13" w:rsidRDefault="00E31C13" w:rsidP="00E31C13">
            <w:r>
              <w:t>Determine partner institution guidelines for being on their premises and in their spaces.</w:t>
            </w:r>
          </w:p>
          <w:p w14:paraId="1492F226" w14:textId="723E821C" w:rsidR="00C31DE5" w:rsidRDefault="00E31C13" w:rsidP="00E31C1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Confirm you are invited to be on their premises.</w:t>
            </w:r>
          </w:p>
        </w:tc>
      </w:tr>
      <w:tr w:rsidR="00E31C13" w14:paraId="42CC0740" w14:textId="77777777" w:rsidTr="00227D0E">
        <w:tc>
          <w:tcPr>
            <w:tcW w:w="1255" w:type="dxa"/>
          </w:tcPr>
          <w:p w14:paraId="606C10B2" w14:textId="24CE43FB" w:rsidR="00E31C13" w:rsidRDefault="00E31C13" w:rsidP="00E31C1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DCA2C3B">
              <w:rPr>
                <w:b/>
                <w:bCs/>
                <w:color w:val="0070C0"/>
              </w:rPr>
              <w:lastRenderedPageBreak/>
              <w:t>1.</w:t>
            </w:r>
            <w:r>
              <w:rPr>
                <w:b/>
                <w:bCs/>
                <w:color w:val="0070C0"/>
              </w:rPr>
              <w:t>6</w:t>
            </w:r>
          </w:p>
        </w:tc>
        <w:tc>
          <w:tcPr>
            <w:tcW w:w="8820" w:type="dxa"/>
          </w:tcPr>
          <w:p w14:paraId="7077221D" w14:textId="77777777" w:rsidR="00E31C13" w:rsidRDefault="002C7C80" w:rsidP="00E31C13">
            <w:pPr>
              <w:rPr>
                <w:rFonts w:ascii="Calibri" w:hAnsi="Calibri" w:cs="Calibri"/>
                <w:b/>
                <w:color w:val="0070C0"/>
              </w:rPr>
            </w:pPr>
            <w:r w:rsidRPr="006A1A8F">
              <w:rPr>
                <w:rFonts w:ascii="Calibri" w:hAnsi="Calibri" w:cs="Calibri"/>
                <w:b/>
                <w:color w:val="0070C0"/>
              </w:rPr>
              <w:t>Identify your field site (partner organization/agency) COVID-19 protocols.</w:t>
            </w:r>
          </w:p>
          <w:p w14:paraId="23C2277B" w14:textId="77777777" w:rsidR="002C7C80" w:rsidRDefault="002C7C80" w:rsidP="00E31C1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8723AC" w14:textId="77777777" w:rsidR="002C7C80" w:rsidRDefault="002C7C80" w:rsidP="002C7C80">
            <w:r>
              <w:t>Collect field site protocols and guidance to share with research team.</w:t>
            </w:r>
          </w:p>
          <w:p w14:paraId="48705F0A" w14:textId="77777777" w:rsidR="002C7C80" w:rsidRDefault="002C7C80" w:rsidP="002C7C80">
            <w:r>
              <w:t>-Determine what needs to be filed to access field site.</w:t>
            </w:r>
          </w:p>
          <w:p w14:paraId="19FAEF82" w14:textId="77777777" w:rsidR="002C7C80" w:rsidRDefault="002C7C80" w:rsidP="002C7C80">
            <w:r>
              <w:t xml:space="preserve">-Determine non-negotiables for </w:t>
            </w:r>
            <w:proofErr w:type="spellStart"/>
            <w:r>
              <w:t>UArizona</w:t>
            </w:r>
            <w:proofErr w:type="spellEnd"/>
          </w:p>
          <w:p w14:paraId="4AC2FEC8" w14:textId="77777777" w:rsidR="002C7C80" w:rsidRDefault="002C7C80" w:rsidP="002C7C80">
            <w:r>
              <w:t>-Determine non-negotiables for partner organization/agency.</w:t>
            </w:r>
          </w:p>
          <w:p w14:paraId="35B50D1B" w14:textId="77777777" w:rsidR="002C7C80" w:rsidRDefault="002C7C80" w:rsidP="002C7C80">
            <w:r>
              <w:t xml:space="preserve">-Identify how to find middle shared ground. </w:t>
            </w:r>
          </w:p>
          <w:p w14:paraId="7DC4A576" w14:textId="77777777" w:rsidR="002C7C80" w:rsidRDefault="002C7C80" w:rsidP="002C7C80">
            <w:r>
              <w:t>-Identify designated areas (taped or plexiglass shield)</w:t>
            </w:r>
          </w:p>
          <w:p w14:paraId="7C0CAC34" w14:textId="77777777" w:rsidR="002C7C80" w:rsidRDefault="002C7C80" w:rsidP="002C7C80">
            <w:pPr>
              <w:rPr>
                <w:iCs/>
              </w:rPr>
            </w:pPr>
          </w:p>
          <w:p w14:paraId="0D374F57" w14:textId="77777777" w:rsidR="002C7C80" w:rsidRDefault="002C7C80" w:rsidP="002C7C80">
            <w:r w:rsidRPr="476F2EB6">
              <w:rPr>
                <w:b/>
                <w:bCs/>
              </w:rPr>
              <w:t>Phase 3:</w:t>
            </w:r>
            <w:r>
              <w:t xml:space="preserve"> Some partner agencies open.</w:t>
            </w:r>
          </w:p>
          <w:p w14:paraId="1DEB673E" w14:textId="77777777" w:rsidR="002C7C80" w:rsidRDefault="002C7C80" w:rsidP="002C7C80">
            <w:r w:rsidRPr="476F2EB6">
              <w:rPr>
                <w:b/>
                <w:bCs/>
              </w:rPr>
              <w:t>Phase 4:</w:t>
            </w:r>
            <w:r>
              <w:t xml:space="preserve"> Schools re-open. More partner agencies open.</w:t>
            </w:r>
          </w:p>
          <w:p w14:paraId="4ABDFC92" w14:textId="77777777" w:rsidR="002C7C80" w:rsidRDefault="002C7C80" w:rsidP="002C7C80">
            <w:r w:rsidRPr="476F2EB6">
              <w:rPr>
                <w:b/>
                <w:bCs/>
              </w:rPr>
              <w:t>Phase 5:</w:t>
            </w:r>
            <w:r>
              <w:t xml:space="preserve"> Most agencies open</w:t>
            </w:r>
          </w:p>
          <w:p w14:paraId="160C06FD" w14:textId="77777777" w:rsidR="002C7C80" w:rsidRDefault="002C7C80" w:rsidP="002C7C8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15928A" w14:textId="77777777" w:rsidR="002C7C80" w:rsidRDefault="002C7C80" w:rsidP="002C7C8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Logistics:</w:t>
            </w:r>
          </w:p>
          <w:p w14:paraId="3C8D1B40" w14:textId="77777777" w:rsidR="002C7C80" w:rsidRDefault="002C7C80" w:rsidP="002C7C8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C5B2E69" w14:textId="77777777" w:rsidR="00D86795" w:rsidRDefault="00D86795" w:rsidP="00D86795">
            <w:r>
              <w:t>-Work with field site agency/organization administrator to determine access to field site.</w:t>
            </w:r>
          </w:p>
          <w:p w14:paraId="2CC954EE" w14:textId="2110228D" w:rsidR="00D86795" w:rsidRDefault="00D86795" w:rsidP="00D8679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-File necessary paperwork to be on field site.</w:t>
            </w:r>
          </w:p>
        </w:tc>
      </w:tr>
      <w:tr w:rsidR="00AD532F" w14:paraId="4FF02A44" w14:textId="77777777" w:rsidTr="00227D0E">
        <w:tc>
          <w:tcPr>
            <w:tcW w:w="1255" w:type="dxa"/>
          </w:tcPr>
          <w:p w14:paraId="283F0575" w14:textId="288CF4C6" w:rsidR="00AD532F" w:rsidRDefault="00AD532F" w:rsidP="00AD532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9" w:name="_Hlk55906146"/>
            <w:r w:rsidRPr="2DCA2C3B">
              <w:rPr>
                <w:b/>
                <w:bCs/>
                <w:color w:val="0070C0"/>
              </w:rPr>
              <w:t>1.</w:t>
            </w:r>
            <w:r>
              <w:rPr>
                <w:b/>
                <w:bCs/>
                <w:color w:val="0070C0"/>
              </w:rPr>
              <w:t>7</w:t>
            </w:r>
          </w:p>
        </w:tc>
        <w:tc>
          <w:tcPr>
            <w:tcW w:w="8820" w:type="dxa"/>
          </w:tcPr>
          <w:p w14:paraId="6E416442" w14:textId="77777777" w:rsidR="00AD532F" w:rsidRPr="003A718A" w:rsidRDefault="00AD532F" w:rsidP="00AD532F">
            <w:pPr>
              <w:rPr>
                <w:rFonts w:ascii="Calibri" w:hAnsi="Calibri" w:cs="Calibri"/>
                <w:b/>
                <w:color w:val="0070C0"/>
              </w:rPr>
            </w:pPr>
            <w:r w:rsidRPr="003A718A">
              <w:rPr>
                <w:rFonts w:ascii="Calibri" w:hAnsi="Calibri" w:cs="Calibri"/>
                <w:b/>
                <w:color w:val="0070C0"/>
              </w:rPr>
              <w:t>IRB protocols</w:t>
            </w:r>
          </w:p>
          <w:p w14:paraId="4B11FDC6" w14:textId="77777777" w:rsidR="00AD532F" w:rsidRDefault="00AD532F" w:rsidP="00AD532F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54719F3B" w14:textId="77777777" w:rsidR="00AD532F" w:rsidRPr="00AD532F" w:rsidRDefault="00AD532F" w:rsidP="00AD532F">
            <w:pPr>
              <w:rPr>
                <w:rFonts w:ascii="Calibri" w:hAnsi="Calibri" w:cs="Calibri"/>
              </w:rPr>
            </w:pPr>
            <w:r w:rsidRPr="00AD532F">
              <w:rPr>
                <w:rFonts w:ascii="Calibri" w:hAnsi="Calibri" w:cs="Calibri"/>
              </w:rPr>
              <w:t>If changes to your methodology are made, you will need to file an amendment with IRB.</w:t>
            </w:r>
          </w:p>
          <w:p w14:paraId="14C11FDD" w14:textId="25F682BC" w:rsidR="00AD532F" w:rsidRDefault="00AD532F" w:rsidP="00AD532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D532F">
              <w:rPr>
                <w:rFonts w:ascii="Calibri" w:hAnsi="Calibri" w:cs="Calibri"/>
              </w:rPr>
              <w:t>-Work with College of Education IRB liaison (Anna Bounds)</w:t>
            </w:r>
          </w:p>
        </w:tc>
      </w:tr>
      <w:bookmarkEnd w:id="9"/>
    </w:tbl>
    <w:p w14:paraId="73A0C62C" w14:textId="79DF6A16" w:rsidR="000A7C7D" w:rsidRDefault="000A7C7D" w:rsidP="00380AA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597D58A" w14:textId="77777777" w:rsidR="00C81931" w:rsidRDefault="00C81931" w:rsidP="00BD1CAF">
      <w:pPr>
        <w:spacing w:after="0" w:line="240" w:lineRule="auto"/>
        <w:rPr>
          <w:rFonts w:ascii="Calibri" w:hAnsi="Calibri" w:cs="Calibri"/>
          <w:b/>
          <w:bCs/>
        </w:rPr>
      </w:pPr>
    </w:p>
    <w:p w14:paraId="1F51AB8C" w14:textId="620A1596" w:rsidR="00AD4645" w:rsidRDefault="00090319" w:rsidP="0087258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Part </w:t>
      </w:r>
      <w:r w:rsidR="00E333A3">
        <w:rPr>
          <w:rFonts w:ascii="Calibri" w:hAnsi="Calibri" w:cs="Calibri"/>
          <w:b/>
          <w:bCs/>
          <w:sz w:val="24"/>
          <w:szCs w:val="24"/>
        </w:rPr>
        <w:t>2</w:t>
      </w:r>
      <w:r w:rsidR="00476D16"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SETTING UP LAB/FIELD SAFETY PROTOCOLS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55"/>
        <w:gridCol w:w="8820"/>
      </w:tblGrid>
      <w:tr w:rsidR="00AD4645" w14:paraId="37AB291C" w14:textId="77777777" w:rsidTr="0032762E">
        <w:tc>
          <w:tcPr>
            <w:tcW w:w="1255" w:type="dxa"/>
          </w:tcPr>
          <w:p w14:paraId="4A00AE14" w14:textId="77777777" w:rsidR="00AD4645" w:rsidRDefault="00AD4645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Procedure</w:t>
            </w:r>
          </w:p>
        </w:tc>
        <w:tc>
          <w:tcPr>
            <w:tcW w:w="8820" w:type="dxa"/>
          </w:tcPr>
          <w:p w14:paraId="17231361" w14:textId="77777777" w:rsidR="00AD4645" w:rsidRDefault="00AD4645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Description</w:t>
            </w:r>
          </w:p>
        </w:tc>
      </w:tr>
      <w:tr w:rsidR="00AD4645" w14:paraId="59D254C8" w14:textId="77777777" w:rsidTr="0032762E">
        <w:tc>
          <w:tcPr>
            <w:tcW w:w="1255" w:type="dxa"/>
          </w:tcPr>
          <w:p w14:paraId="3C54EBD7" w14:textId="77777777" w:rsidR="00AD4645" w:rsidRDefault="00AD4645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DCA2C3B">
              <w:rPr>
                <w:b/>
                <w:bCs/>
                <w:color w:val="0070C0"/>
              </w:rPr>
              <w:t>1.1</w:t>
            </w:r>
          </w:p>
        </w:tc>
        <w:tc>
          <w:tcPr>
            <w:tcW w:w="8820" w:type="dxa"/>
          </w:tcPr>
          <w:p w14:paraId="471768A0" w14:textId="2040E214" w:rsidR="00AD4645" w:rsidRPr="00D13725" w:rsidRDefault="00AD4645" w:rsidP="00AD4645">
            <w:pPr>
              <w:rPr>
                <w:rFonts w:ascii="Calibri" w:hAnsi="Calibri" w:cs="Calibri"/>
              </w:rPr>
            </w:pPr>
            <w:r w:rsidRPr="476F2EB6">
              <w:rPr>
                <w:b/>
                <w:bCs/>
                <w:color w:val="0070C0"/>
              </w:rPr>
              <w:t xml:space="preserve">Ensure </w:t>
            </w:r>
            <w:proofErr w:type="gramStart"/>
            <w:r w:rsidRPr="476F2EB6">
              <w:rPr>
                <w:b/>
                <w:bCs/>
                <w:color w:val="0070C0"/>
              </w:rPr>
              <w:t>sufficient</w:t>
            </w:r>
            <w:proofErr w:type="gramEnd"/>
            <w:r w:rsidRPr="476F2EB6">
              <w:rPr>
                <w:b/>
                <w:bCs/>
                <w:color w:val="0070C0"/>
              </w:rPr>
              <w:t xml:space="preserve"> physical distancing within the research lab</w:t>
            </w:r>
          </w:p>
          <w:p w14:paraId="6709FAB0" w14:textId="77777777" w:rsidR="00AD4645" w:rsidRDefault="00AD4645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3F97A90" w14:textId="77777777" w:rsidR="00AD4645" w:rsidRDefault="00AD4645" w:rsidP="0032762E">
            <w:r>
              <w:t>Determine the number of team members in a research lab at a given time. Seating can be reconfigured to identify designated individual spaces to ensure more appropriate distancing.</w:t>
            </w:r>
          </w:p>
          <w:p w14:paraId="59EC2688" w14:textId="77777777" w:rsidR="00AD4645" w:rsidRDefault="00AD4645" w:rsidP="0032762E">
            <w:pPr>
              <w:rPr>
                <w:sz w:val="24"/>
                <w:szCs w:val="24"/>
              </w:rPr>
            </w:pPr>
          </w:p>
          <w:p w14:paraId="33358B46" w14:textId="77777777" w:rsidR="00AD4645" w:rsidRDefault="00AD4645" w:rsidP="00AD464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Logistics:</w:t>
            </w:r>
          </w:p>
          <w:p w14:paraId="5B306638" w14:textId="77777777" w:rsidR="00AD4645" w:rsidRDefault="00AD4645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5B80A82" w14:textId="77777777" w:rsidR="00AD4645" w:rsidRDefault="00AD4645" w:rsidP="00AD4645">
            <w:r>
              <w:t xml:space="preserve">1-Updated room capacities should be posted outside the lab. </w:t>
            </w:r>
          </w:p>
          <w:p w14:paraId="407805C0" w14:textId="77777777" w:rsidR="00AD4645" w:rsidRDefault="00AD4645" w:rsidP="00AD4645">
            <w:pPr>
              <w:rPr>
                <w:b/>
                <w:bCs/>
                <w:u w:val="single"/>
              </w:rPr>
            </w:pPr>
            <w:r>
              <w:lastRenderedPageBreak/>
              <w:t xml:space="preserve">2-Once room capacity is set, each room should be configured in a manner that preserves the 6 ft of separation between individuals. Configurations will be devised in accordance with </w:t>
            </w:r>
            <w:r w:rsidRPr="00037D24">
              <w:t>SWERT C.I.</w:t>
            </w:r>
          </w:p>
          <w:p w14:paraId="46E4FD32" w14:textId="57817F80" w:rsidR="00AD4645" w:rsidRDefault="00AD4645" w:rsidP="00AD46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3-Tape off areas that are off-limits. Or tape-in designated desk/chair spaces.</w:t>
            </w:r>
          </w:p>
        </w:tc>
      </w:tr>
      <w:tr w:rsidR="00AD4645" w14:paraId="55C7FE45" w14:textId="77777777" w:rsidTr="0032762E">
        <w:tc>
          <w:tcPr>
            <w:tcW w:w="1255" w:type="dxa"/>
          </w:tcPr>
          <w:p w14:paraId="750B72E4" w14:textId="77777777" w:rsidR="00AD4645" w:rsidRDefault="00AD4645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DCA2C3B">
              <w:rPr>
                <w:b/>
                <w:bCs/>
                <w:color w:val="0070C0"/>
              </w:rPr>
              <w:lastRenderedPageBreak/>
              <w:t>1.</w:t>
            </w:r>
            <w:r>
              <w:rPr>
                <w:b/>
                <w:bCs/>
                <w:color w:val="0070C0"/>
              </w:rPr>
              <w:t>2</w:t>
            </w:r>
          </w:p>
        </w:tc>
        <w:tc>
          <w:tcPr>
            <w:tcW w:w="8820" w:type="dxa"/>
          </w:tcPr>
          <w:p w14:paraId="4C8209EC" w14:textId="77777777" w:rsidR="00AD4645" w:rsidRDefault="00726BC8" w:rsidP="0032762E">
            <w:pPr>
              <w:rPr>
                <w:b/>
                <w:bCs/>
                <w:color w:val="0070C0"/>
              </w:rPr>
            </w:pPr>
            <w:r w:rsidRPr="476F2EB6">
              <w:rPr>
                <w:b/>
                <w:bCs/>
                <w:color w:val="0070C0"/>
              </w:rPr>
              <w:t>Ensure safe physical distancing within field environments such as K12 classrooms, clinics, public spaces.</w:t>
            </w:r>
          </w:p>
          <w:p w14:paraId="6F329231" w14:textId="2414A5CB" w:rsidR="00726BC8" w:rsidRDefault="00726BC8" w:rsidP="0032762E">
            <w:pPr>
              <w:rPr>
                <w:b/>
                <w:bCs/>
                <w:sz w:val="24"/>
                <w:szCs w:val="24"/>
              </w:rPr>
            </w:pPr>
          </w:p>
          <w:p w14:paraId="47291398" w14:textId="331BD468" w:rsidR="00726BC8" w:rsidRDefault="00726BC8" w:rsidP="0032762E">
            <w:r>
              <w:t>Determine the what you need to be wearing while in a field setting, where you will be located at your research site, and how you will protect yourself and participants you come in close contact with.</w:t>
            </w:r>
          </w:p>
          <w:p w14:paraId="4DB06D8D" w14:textId="046796EA" w:rsidR="00726BC8" w:rsidRDefault="00726BC8" w:rsidP="0032762E">
            <w:pPr>
              <w:rPr>
                <w:sz w:val="24"/>
                <w:szCs w:val="24"/>
              </w:rPr>
            </w:pPr>
          </w:p>
          <w:p w14:paraId="0ABFDF4A" w14:textId="77777777" w:rsidR="001339EE" w:rsidRDefault="001339EE" w:rsidP="001339EE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Logistics:</w:t>
            </w:r>
          </w:p>
          <w:p w14:paraId="15153693" w14:textId="7DE5DD2A" w:rsidR="00726BC8" w:rsidRDefault="00726BC8" w:rsidP="0032762E">
            <w:pPr>
              <w:rPr>
                <w:b/>
                <w:bCs/>
                <w:sz w:val="24"/>
                <w:szCs w:val="24"/>
              </w:rPr>
            </w:pPr>
          </w:p>
          <w:p w14:paraId="6AEA2D01" w14:textId="77777777" w:rsidR="001339EE" w:rsidRPr="00384DDE" w:rsidRDefault="001339EE" w:rsidP="001339EE">
            <w:r w:rsidRPr="00384DDE">
              <w:t>1-Determine what are your entry and exit safety practices when conducting fieldwork in other locations</w:t>
            </w:r>
            <w:r>
              <w:t>.</w:t>
            </w:r>
          </w:p>
          <w:p w14:paraId="34CD7E98" w14:textId="77777777" w:rsidR="001339EE" w:rsidRPr="00384DDE" w:rsidRDefault="001339EE" w:rsidP="001339EE">
            <w:r w:rsidRPr="00384DDE">
              <w:t xml:space="preserve">2-Ensure you have </w:t>
            </w:r>
            <w:proofErr w:type="gramStart"/>
            <w:r w:rsidRPr="00384DDE">
              <w:t>sufficient</w:t>
            </w:r>
            <w:proofErr w:type="gramEnd"/>
            <w:r w:rsidRPr="00384DDE">
              <w:t xml:space="preserve"> PPE supplies as dictated by partner site.</w:t>
            </w:r>
          </w:p>
          <w:p w14:paraId="4A7E512E" w14:textId="77777777" w:rsidR="001339EE" w:rsidRPr="00384DDE" w:rsidRDefault="001339EE" w:rsidP="001339EE">
            <w:r w:rsidRPr="00384DDE">
              <w:t>3-Come prepared with PPE supplies</w:t>
            </w:r>
          </w:p>
          <w:p w14:paraId="6AFD21E2" w14:textId="77777777" w:rsidR="001339EE" w:rsidRPr="00384DDE" w:rsidRDefault="001339EE" w:rsidP="001339EE">
            <w:r w:rsidRPr="00384DDE">
              <w:t xml:space="preserve">4-Designated location at field site that you will occupy &amp; clean and disinfect upon arrival and departure. </w:t>
            </w:r>
          </w:p>
          <w:p w14:paraId="0C09C295" w14:textId="77777777" w:rsidR="001339EE" w:rsidRPr="00384DDE" w:rsidRDefault="001339EE" w:rsidP="001339EE">
            <w:r w:rsidRPr="00384DDE">
              <w:t xml:space="preserve">5-Follow host location physical distancing protocols. </w:t>
            </w:r>
          </w:p>
          <w:p w14:paraId="6D7A7BC2" w14:textId="77777777" w:rsidR="001339EE" w:rsidRPr="00384DDE" w:rsidRDefault="001339EE" w:rsidP="001339EE">
            <w:pPr>
              <w:pStyle w:val="ListParagraph"/>
              <w:numPr>
                <w:ilvl w:val="0"/>
                <w:numId w:val="7"/>
              </w:numPr>
            </w:pPr>
            <w:r w:rsidRPr="00384DDE">
              <w:t>Need to determine if protocol is safe enough</w:t>
            </w:r>
          </w:p>
          <w:p w14:paraId="0EEAB312" w14:textId="77777777" w:rsidR="001339EE" w:rsidRDefault="001339EE" w:rsidP="001339EE">
            <w:pPr>
              <w:pStyle w:val="ListParagraph"/>
              <w:numPr>
                <w:ilvl w:val="0"/>
                <w:numId w:val="7"/>
              </w:numPr>
            </w:pPr>
            <w:r>
              <w:t xml:space="preserve">Need to work with host on protocols in which </w:t>
            </w:r>
            <w:proofErr w:type="spellStart"/>
            <w:r>
              <w:t>UArizona</w:t>
            </w:r>
            <w:proofErr w:type="spellEnd"/>
            <w:r>
              <w:t xml:space="preserve"> individuals feel safe</w:t>
            </w:r>
          </w:p>
          <w:p w14:paraId="5CE47B1A" w14:textId="77777777" w:rsidR="001339EE" w:rsidRDefault="001339EE" w:rsidP="001339EE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will have access to an </w:t>
            </w:r>
            <w:r w:rsidRPr="2DCA2C3B">
              <w:rPr>
                <w:b/>
                <w:bCs/>
              </w:rPr>
              <w:t>COVID 19 Workplace Risk Management Protocols for Credit-bearing Experiential Learning Activities</w:t>
            </w:r>
            <w:r>
              <w:t xml:space="preserve"> form</w:t>
            </w:r>
          </w:p>
          <w:p w14:paraId="44536BD0" w14:textId="77777777" w:rsidR="001339EE" w:rsidRDefault="001339EE" w:rsidP="001339EE">
            <w:pPr>
              <w:pStyle w:val="ListParagraph"/>
              <w:numPr>
                <w:ilvl w:val="0"/>
                <w:numId w:val="7"/>
              </w:numPr>
            </w:pPr>
            <w:r>
              <w:t xml:space="preserve"> or to the </w:t>
            </w:r>
            <w:r w:rsidRPr="2DCA2C3B">
              <w:rPr>
                <w:b/>
                <w:bCs/>
              </w:rPr>
              <w:t>UA Assumption of Risk and Release</w:t>
            </w:r>
            <w:r>
              <w:t xml:space="preserve"> </w:t>
            </w:r>
            <w:r w:rsidRPr="2DCA2C3B">
              <w:rPr>
                <w:b/>
                <w:bCs/>
              </w:rPr>
              <w:t xml:space="preserve">Agreement </w:t>
            </w:r>
            <w:r>
              <w:t>form to review, be informed of risks, and submit - in order to conduct their work. This process will allow students to consider an alternative plan, if the risks are too high.</w:t>
            </w:r>
          </w:p>
          <w:p w14:paraId="4F5BDC75" w14:textId="77777777" w:rsidR="001339EE" w:rsidRPr="00384DDE" w:rsidRDefault="001339EE" w:rsidP="001339EE">
            <w:r>
              <w:t>6-Establish work shifts if necessary.</w:t>
            </w:r>
          </w:p>
          <w:p w14:paraId="122562CD" w14:textId="77777777" w:rsidR="001339EE" w:rsidRPr="00384DDE" w:rsidRDefault="001339EE" w:rsidP="001339EE">
            <w:r w:rsidRPr="00384DDE">
              <w:t xml:space="preserve">7-Determine what you will do when exiting a field site and entering your own vehicle/home/office/lab (such as wearing a covering (lab coat) that you can remove upon exiting the field location). </w:t>
            </w:r>
          </w:p>
          <w:p w14:paraId="766298CE" w14:textId="3F4C1456" w:rsidR="001339EE" w:rsidRDefault="001339EE" w:rsidP="001339EE">
            <w:pPr>
              <w:rPr>
                <w:b/>
                <w:bCs/>
                <w:sz w:val="24"/>
                <w:szCs w:val="24"/>
              </w:rPr>
            </w:pPr>
            <w:r w:rsidRPr="00384DDE">
              <w:t>8-Consider PPE guidance includes what/how/when to remove and reuse or dispose of it and the potential other sanitizing measures that should take place.</w:t>
            </w:r>
          </w:p>
          <w:p w14:paraId="77781B9B" w14:textId="33C38784" w:rsidR="00726BC8" w:rsidRDefault="00726BC8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339EE" w14:paraId="55F81901" w14:textId="77777777" w:rsidTr="0032762E">
        <w:tc>
          <w:tcPr>
            <w:tcW w:w="1255" w:type="dxa"/>
          </w:tcPr>
          <w:p w14:paraId="3BD45847" w14:textId="67B3E57D" w:rsidR="001339EE" w:rsidRPr="2DCA2C3B" w:rsidRDefault="001339EE" w:rsidP="001339EE">
            <w:pPr>
              <w:rPr>
                <w:b/>
                <w:bCs/>
                <w:color w:val="0070C0"/>
              </w:rPr>
            </w:pPr>
            <w:r w:rsidRPr="2DCA2C3B">
              <w:rPr>
                <w:b/>
                <w:bCs/>
                <w:color w:val="0070C0"/>
              </w:rPr>
              <w:t>1.</w:t>
            </w:r>
            <w:r>
              <w:rPr>
                <w:b/>
                <w:bCs/>
                <w:color w:val="0070C0"/>
              </w:rPr>
              <w:t>3</w:t>
            </w:r>
          </w:p>
        </w:tc>
        <w:tc>
          <w:tcPr>
            <w:tcW w:w="8820" w:type="dxa"/>
          </w:tcPr>
          <w:p w14:paraId="1C769649" w14:textId="77777777" w:rsidR="001339EE" w:rsidRDefault="003F3046" w:rsidP="001339EE">
            <w:pPr>
              <w:rPr>
                <w:rFonts w:ascii="Calibri" w:hAnsi="Calibri" w:cs="Calibri"/>
                <w:b/>
                <w:color w:val="0070C0"/>
              </w:rPr>
            </w:pPr>
            <w:r w:rsidRPr="006A1A8F">
              <w:rPr>
                <w:rFonts w:ascii="Calibri" w:hAnsi="Calibri" w:cs="Calibri"/>
                <w:b/>
                <w:color w:val="0070C0"/>
              </w:rPr>
              <w:t>Transportation to and from field site.</w:t>
            </w:r>
          </w:p>
          <w:p w14:paraId="4492E848" w14:textId="77777777" w:rsidR="003F3046" w:rsidRDefault="003F3046" w:rsidP="001339EE">
            <w:pPr>
              <w:rPr>
                <w:rFonts w:ascii="Calibri" w:hAnsi="Calibri" w:cs="Calibri"/>
                <w:b/>
                <w:color w:val="0070C0"/>
              </w:rPr>
            </w:pPr>
          </w:p>
          <w:p w14:paraId="0FC7B453" w14:textId="77777777" w:rsidR="003A06C3" w:rsidRDefault="003A06C3" w:rsidP="003A06C3">
            <w:r>
              <w:t>Arrange to drive individually to field sites.</w:t>
            </w:r>
          </w:p>
          <w:p w14:paraId="7B5D8633" w14:textId="77777777" w:rsidR="003A06C3" w:rsidRDefault="003A06C3" w:rsidP="003A06C3">
            <w:pPr>
              <w:rPr>
                <w:iCs/>
              </w:rPr>
            </w:pPr>
          </w:p>
          <w:p w14:paraId="4DF25F9E" w14:textId="77777777" w:rsidR="003A06C3" w:rsidRDefault="003A06C3" w:rsidP="003A06C3">
            <w:r>
              <w:rPr>
                <w:iCs/>
              </w:rPr>
              <w:t>Phase</w:t>
            </w:r>
            <w:r>
              <w:t xml:space="preserve"> 4: T</w:t>
            </w:r>
            <w:r w:rsidRPr="00A0564D">
              <w:rPr>
                <w:rFonts w:cstheme="minorHAnsi"/>
              </w:rPr>
              <w:t>ravel restrictions, ability to travel safely</w:t>
            </w:r>
          </w:p>
          <w:p w14:paraId="46383E05" w14:textId="77777777" w:rsidR="003F3046" w:rsidRDefault="003A06C3" w:rsidP="003A06C3">
            <w:pPr>
              <w:rPr>
                <w:rFonts w:cstheme="minorHAnsi"/>
              </w:rPr>
            </w:pPr>
            <w:r>
              <w:rPr>
                <w:iCs/>
              </w:rPr>
              <w:t>Phase</w:t>
            </w:r>
            <w:r>
              <w:t xml:space="preserve"> 5: T</w:t>
            </w:r>
            <w:r w:rsidRPr="00A0564D">
              <w:rPr>
                <w:rFonts w:cstheme="minorHAnsi"/>
              </w:rPr>
              <w:t>ravel restrictions, ability to travel safely</w:t>
            </w:r>
          </w:p>
          <w:p w14:paraId="5CE3AB67" w14:textId="77777777" w:rsidR="003A06C3" w:rsidRDefault="003A06C3" w:rsidP="003A06C3">
            <w:pPr>
              <w:rPr>
                <w:rFonts w:cstheme="minorHAnsi"/>
              </w:rPr>
            </w:pPr>
          </w:p>
          <w:p w14:paraId="69021011" w14:textId="77777777" w:rsidR="003A06C3" w:rsidRDefault="003A06C3" w:rsidP="003A06C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Logistics:</w:t>
            </w:r>
          </w:p>
          <w:p w14:paraId="26932B70" w14:textId="77777777" w:rsidR="003A06C3" w:rsidRDefault="003A06C3" w:rsidP="003A06C3">
            <w:pPr>
              <w:rPr>
                <w:b/>
                <w:bCs/>
                <w:color w:val="0070C0"/>
              </w:rPr>
            </w:pPr>
          </w:p>
          <w:p w14:paraId="2FFC67B9" w14:textId="77777777" w:rsidR="003A06C3" w:rsidRDefault="003A06C3" w:rsidP="003A06C3">
            <w:r>
              <w:t>1-Determine if more than one person needs to travel to the field site the same day and time.</w:t>
            </w:r>
          </w:p>
          <w:p w14:paraId="0123EE17" w14:textId="77777777" w:rsidR="003A06C3" w:rsidRDefault="003A06C3" w:rsidP="003A06C3">
            <w:r>
              <w:t>2-Arrange for separate transport vehicles</w:t>
            </w:r>
          </w:p>
          <w:p w14:paraId="5A719F94" w14:textId="77777777" w:rsidR="003A06C3" w:rsidRPr="0030694F" w:rsidRDefault="003A06C3" w:rsidP="003A06C3">
            <w:r>
              <w:t>3- If a researcher does not have transport vehicle, use an iPad or iPad bot for that second researcher to be at site.</w:t>
            </w:r>
          </w:p>
          <w:p w14:paraId="5403C596" w14:textId="77777777" w:rsidR="003A06C3" w:rsidRDefault="003A06C3" w:rsidP="003A06C3">
            <w:r>
              <w:lastRenderedPageBreak/>
              <w:t>4- If needing to transport participants, determine how they will get to site. If cannot avoid being in same vehicle, consider re-designing your activity.</w:t>
            </w:r>
          </w:p>
          <w:p w14:paraId="5C4B75EE" w14:textId="2FBFE21C" w:rsidR="003A06C3" w:rsidRPr="476F2EB6" w:rsidRDefault="003A06C3" w:rsidP="003A06C3">
            <w:pPr>
              <w:rPr>
                <w:b/>
                <w:bCs/>
                <w:color w:val="0070C0"/>
              </w:rPr>
            </w:pPr>
            <w:r w:rsidRPr="00837B34">
              <w:t>5</w:t>
            </w:r>
            <w:r w:rsidRPr="00384DDE">
              <w:t xml:space="preserve">- </w:t>
            </w:r>
            <w:r>
              <w:t>Consider</w:t>
            </w:r>
            <w:r w:rsidRPr="00384DDE">
              <w:t xml:space="preserve"> PPE guidance includes what/how/when to remove and reuse or dispose of it and the potential other sanitizing measures that should take place.</w:t>
            </w:r>
          </w:p>
        </w:tc>
      </w:tr>
      <w:tr w:rsidR="001339EE" w14:paraId="4DD89DD9" w14:textId="77777777" w:rsidTr="0032762E">
        <w:tc>
          <w:tcPr>
            <w:tcW w:w="1255" w:type="dxa"/>
          </w:tcPr>
          <w:p w14:paraId="572FC30B" w14:textId="4635D859" w:rsidR="001339EE" w:rsidRPr="2DCA2C3B" w:rsidRDefault="001339EE" w:rsidP="001339EE">
            <w:pPr>
              <w:rPr>
                <w:b/>
                <w:bCs/>
                <w:color w:val="0070C0"/>
              </w:rPr>
            </w:pPr>
            <w:r w:rsidRPr="2DCA2C3B">
              <w:rPr>
                <w:b/>
                <w:bCs/>
                <w:color w:val="0070C0"/>
              </w:rPr>
              <w:lastRenderedPageBreak/>
              <w:t>1.</w:t>
            </w:r>
            <w:r>
              <w:rPr>
                <w:b/>
                <w:bCs/>
                <w:color w:val="0070C0"/>
              </w:rPr>
              <w:t>4</w:t>
            </w:r>
          </w:p>
        </w:tc>
        <w:tc>
          <w:tcPr>
            <w:tcW w:w="8820" w:type="dxa"/>
          </w:tcPr>
          <w:p w14:paraId="092FBB24" w14:textId="77777777" w:rsidR="004A6D4B" w:rsidRPr="00D13725" w:rsidRDefault="004A6D4B" w:rsidP="004A6D4B">
            <w:pPr>
              <w:rPr>
                <w:rFonts w:ascii="Calibri" w:hAnsi="Calibri" w:cs="Calibri"/>
              </w:rPr>
            </w:pPr>
            <w:r w:rsidRPr="44BB0BA1">
              <w:rPr>
                <w:b/>
                <w:bCs/>
                <w:color w:val="0070C0"/>
              </w:rPr>
              <w:t xml:space="preserve">Ensure </w:t>
            </w:r>
            <w:r>
              <w:rPr>
                <w:b/>
                <w:bCs/>
                <w:color w:val="0070C0"/>
              </w:rPr>
              <w:t>students, faculty, staff, and partners have means to report incidents of non-compliance activity.</w:t>
            </w:r>
          </w:p>
          <w:p w14:paraId="19E75796" w14:textId="77777777" w:rsidR="001339EE" w:rsidRDefault="001339EE" w:rsidP="001339EE">
            <w:pPr>
              <w:rPr>
                <w:b/>
                <w:bCs/>
                <w:color w:val="0070C0"/>
              </w:rPr>
            </w:pPr>
          </w:p>
          <w:p w14:paraId="5E5A6B70" w14:textId="3D2C053F" w:rsidR="004A6D4B" w:rsidRPr="476F2EB6" w:rsidRDefault="004A6D4B" w:rsidP="001339EE">
            <w:pPr>
              <w:rPr>
                <w:b/>
                <w:bCs/>
                <w:color w:val="0070C0"/>
              </w:rPr>
            </w:pPr>
            <w:r>
              <w:t>Contact S. Chavarria, Z. Sbragia, or your Dept Head and share concerns.</w:t>
            </w:r>
          </w:p>
        </w:tc>
      </w:tr>
    </w:tbl>
    <w:p w14:paraId="6BB52C53" w14:textId="77777777" w:rsidR="0047235F" w:rsidRDefault="0047235F" w:rsidP="00BD1CAF">
      <w:pPr>
        <w:spacing w:after="0" w:line="240" w:lineRule="auto"/>
        <w:rPr>
          <w:rFonts w:ascii="Calibri" w:hAnsi="Calibri" w:cs="Calibri"/>
          <w:b/>
          <w:color w:val="0070C0"/>
        </w:rPr>
      </w:pPr>
    </w:p>
    <w:p w14:paraId="3DBD2EA8" w14:textId="77777777" w:rsidR="00120B4E" w:rsidRDefault="00120B4E" w:rsidP="00BD1CAF">
      <w:pPr>
        <w:spacing w:after="0" w:line="240" w:lineRule="auto"/>
      </w:pPr>
    </w:p>
    <w:p w14:paraId="17BFEA12" w14:textId="688C1B8E" w:rsidR="000157EB" w:rsidRPr="00872589" w:rsidRDefault="00090319" w:rsidP="0087258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Part </w:t>
      </w:r>
      <w:r w:rsidR="00E333A3">
        <w:rPr>
          <w:rFonts w:ascii="Calibri" w:hAnsi="Calibri" w:cs="Calibri"/>
          <w:b/>
          <w:bCs/>
          <w:sz w:val="24"/>
          <w:szCs w:val="24"/>
        </w:rPr>
        <w:t>3</w:t>
      </w:r>
      <w:r w:rsidR="00476D16"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 xml:space="preserve">GUIDANCE TO </w:t>
      </w:r>
      <w:r w:rsidR="006C4273">
        <w:rPr>
          <w:rFonts w:ascii="Calibri" w:hAnsi="Calibri" w:cs="Calibri"/>
          <w:b/>
          <w:bCs/>
          <w:sz w:val="24"/>
          <w:szCs w:val="24"/>
        </w:rPr>
        <w:t xml:space="preserve">MINIMIZE </w:t>
      </w:r>
      <w:r>
        <w:rPr>
          <w:rFonts w:ascii="Calibri" w:hAnsi="Calibri" w:cs="Calibri"/>
          <w:b/>
          <w:bCs/>
          <w:sz w:val="24"/>
          <w:szCs w:val="24"/>
        </w:rPr>
        <w:t>SPREAD OF COVID-19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55"/>
        <w:gridCol w:w="8820"/>
      </w:tblGrid>
      <w:tr w:rsidR="002D05DA" w14:paraId="01378BCE" w14:textId="77777777" w:rsidTr="0032762E">
        <w:tc>
          <w:tcPr>
            <w:tcW w:w="1255" w:type="dxa"/>
          </w:tcPr>
          <w:p w14:paraId="7F97DDC7" w14:textId="77777777" w:rsidR="002D05DA" w:rsidRDefault="002D05DA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Procedure</w:t>
            </w:r>
          </w:p>
        </w:tc>
        <w:tc>
          <w:tcPr>
            <w:tcW w:w="8820" w:type="dxa"/>
          </w:tcPr>
          <w:p w14:paraId="00240745" w14:textId="77777777" w:rsidR="002D05DA" w:rsidRDefault="002D05DA" w:rsidP="003276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Description</w:t>
            </w:r>
          </w:p>
        </w:tc>
      </w:tr>
      <w:tr w:rsidR="002D05DA" w14:paraId="54217057" w14:textId="77777777" w:rsidTr="0032762E">
        <w:tc>
          <w:tcPr>
            <w:tcW w:w="1255" w:type="dxa"/>
          </w:tcPr>
          <w:p w14:paraId="640F6DA5" w14:textId="60A02431" w:rsidR="002D05DA" w:rsidRDefault="002D05DA" w:rsidP="0032762E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3.1</w:t>
            </w:r>
          </w:p>
        </w:tc>
        <w:tc>
          <w:tcPr>
            <w:tcW w:w="8820" w:type="dxa"/>
          </w:tcPr>
          <w:p w14:paraId="21FB79C3" w14:textId="77777777" w:rsidR="006638AA" w:rsidRDefault="006638AA" w:rsidP="006638AA">
            <w:pPr>
              <w:rPr>
                <w:b/>
                <w:bCs/>
                <w:color w:val="0070C0"/>
              </w:rPr>
            </w:pPr>
            <w:r w:rsidRPr="0030694F">
              <w:rPr>
                <w:b/>
                <w:bCs/>
                <w:color w:val="0070C0"/>
              </w:rPr>
              <w:t>Clean and disinfect labs and field work sites daily or as visited.</w:t>
            </w:r>
          </w:p>
          <w:p w14:paraId="5455C1BB" w14:textId="77777777" w:rsidR="002D05DA" w:rsidRDefault="002D05DA" w:rsidP="0032762E">
            <w:pPr>
              <w:rPr>
                <w:b/>
                <w:bCs/>
                <w:color w:val="0070C0"/>
              </w:rPr>
            </w:pPr>
          </w:p>
          <w:p w14:paraId="430F87BE" w14:textId="77777777" w:rsidR="006638AA" w:rsidRDefault="006638AA" w:rsidP="0032762E">
            <w:r>
              <w:t>E</w:t>
            </w:r>
            <w:r w:rsidRPr="0030694F">
              <w:t>nsure that each lab/</w:t>
            </w:r>
            <w:proofErr w:type="gramStart"/>
            <w:r w:rsidRPr="0030694F">
              <w:t>work space</w:t>
            </w:r>
            <w:proofErr w:type="gramEnd"/>
            <w:r w:rsidRPr="0030694F">
              <w:t xml:space="preserve"> is cleaned and disinfected each day or as needed</w:t>
            </w:r>
            <w:r>
              <w:t xml:space="preserve"> per change in occupancy</w:t>
            </w:r>
            <w:r w:rsidRPr="0030694F">
              <w:t>.</w:t>
            </w:r>
          </w:p>
          <w:p w14:paraId="738BE9B2" w14:textId="77777777" w:rsidR="006638AA" w:rsidRDefault="006638AA" w:rsidP="0032762E"/>
          <w:p w14:paraId="3C320089" w14:textId="77777777" w:rsidR="006638AA" w:rsidRDefault="006638AA" w:rsidP="006638A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Logistics:</w:t>
            </w:r>
          </w:p>
          <w:p w14:paraId="18CCA542" w14:textId="77777777" w:rsidR="006638AA" w:rsidRDefault="006638AA" w:rsidP="0032762E">
            <w:pPr>
              <w:rPr>
                <w:b/>
                <w:bCs/>
                <w:color w:val="0070C0"/>
              </w:rPr>
            </w:pPr>
          </w:p>
          <w:p w14:paraId="3EEE3985" w14:textId="0CE6E1B6" w:rsidR="006638AA" w:rsidRDefault="006638AA" w:rsidP="0032762E">
            <w:pPr>
              <w:rPr>
                <w:b/>
                <w:bCs/>
                <w:color w:val="0070C0"/>
              </w:rPr>
            </w:pPr>
            <w:r w:rsidRPr="0030694F">
              <w:t xml:space="preserve">Custodial staff will clean and disinfect each lab daily. </w:t>
            </w:r>
            <w:r>
              <w:t xml:space="preserve">You must request cleaning supplies from </w:t>
            </w:r>
            <w:proofErr w:type="spellStart"/>
            <w:r>
              <w:t>CoEd</w:t>
            </w:r>
            <w:proofErr w:type="spellEnd"/>
            <w:r>
              <w:t xml:space="preserve"> building manager (Michelle Tellez). You will be asked to cover some costs.</w:t>
            </w:r>
          </w:p>
        </w:tc>
      </w:tr>
      <w:tr w:rsidR="003E5CAD" w14:paraId="48A8C5F9" w14:textId="77777777" w:rsidTr="0032762E">
        <w:tc>
          <w:tcPr>
            <w:tcW w:w="1255" w:type="dxa"/>
          </w:tcPr>
          <w:p w14:paraId="63CC2CF5" w14:textId="3821F735" w:rsidR="003E5CAD" w:rsidRDefault="003E5CAD" w:rsidP="003E5CA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3.2</w:t>
            </w:r>
          </w:p>
        </w:tc>
        <w:tc>
          <w:tcPr>
            <w:tcW w:w="8820" w:type="dxa"/>
          </w:tcPr>
          <w:p w14:paraId="783BC793" w14:textId="77777777" w:rsidR="003E5CAD" w:rsidRDefault="003E5CAD" w:rsidP="003E5CAD">
            <w:pPr>
              <w:rPr>
                <w:rFonts w:ascii="Calibri" w:hAnsi="Calibri" w:cs="Calibri"/>
                <w:b/>
                <w:color w:val="0070C0"/>
              </w:rPr>
            </w:pPr>
            <w:r w:rsidRPr="00484F89">
              <w:rPr>
                <w:rFonts w:ascii="Calibri" w:hAnsi="Calibri" w:cs="Calibri"/>
                <w:b/>
                <w:color w:val="0070C0"/>
              </w:rPr>
              <w:t>All research team members will take</w:t>
            </w:r>
            <w:r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</w:rPr>
              <w:t>t</w:t>
            </w:r>
            <w:r w:rsidRPr="005E2690">
              <w:rPr>
                <w:rFonts w:ascii="Calibri" w:hAnsi="Calibri" w:cs="Calibri"/>
                <w:b/>
                <w:color w:val="0070C0"/>
              </w:rPr>
              <w:t>raining on safety best practices and effective use of PPE for research and funded projects.</w:t>
            </w:r>
          </w:p>
          <w:p w14:paraId="2BE45481" w14:textId="77777777" w:rsidR="003E5CAD" w:rsidRDefault="003E5CAD" w:rsidP="003E5CAD">
            <w:pPr>
              <w:rPr>
                <w:rFonts w:ascii="Calibri" w:hAnsi="Calibri" w:cs="Calibri"/>
                <w:b/>
                <w:color w:val="0070C0"/>
              </w:rPr>
            </w:pPr>
          </w:p>
          <w:p w14:paraId="2C35E0F1" w14:textId="77777777" w:rsidR="003E5CAD" w:rsidRDefault="003E5CAD" w:rsidP="003E5CAD">
            <w:r>
              <w:t>Provide easy access to training videos.</w:t>
            </w:r>
          </w:p>
          <w:p w14:paraId="441DA34B" w14:textId="77777777" w:rsidR="003E5CAD" w:rsidRDefault="003E5CAD" w:rsidP="003E5CAD">
            <w:pPr>
              <w:rPr>
                <w:b/>
                <w:bCs/>
                <w:color w:val="0070C0"/>
              </w:rPr>
            </w:pPr>
          </w:p>
          <w:p w14:paraId="19BEDE1E" w14:textId="4A5BF047" w:rsidR="003E5CAD" w:rsidRDefault="003E5CAD" w:rsidP="003E5CA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Logistics:</w:t>
            </w:r>
          </w:p>
          <w:p w14:paraId="59E98F47" w14:textId="4053DB88" w:rsidR="003E5CAD" w:rsidRDefault="003E5CAD" w:rsidP="003E5CAD"/>
          <w:p w14:paraId="35B575F2" w14:textId="317F0249" w:rsidR="003E5CAD" w:rsidRPr="00FC1DAA" w:rsidRDefault="003E5CAD" w:rsidP="003E5CAD">
            <w:r w:rsidRPr="00FC1DAA">
              <w:t>1</w:t>
            </w:r>
            <w:r w:rsidR="00065110">
              <w:t xml:space="preserve">-Complete </w:t>
            </w:r>
            <w:proofErr w:type="spellStart"/>
            <w:r w:rsidR="00065110">
              <w:t>UArizona</w:t>
            </w:r>
            <w:proofErr w:type="spellEnd"/>
            <w:r w:rsidR="00065110">
              <w:t xml:space="preserve"> </w:t>
            </w:r>
            <w:hyperlink r:id="rId8" w:history="1">
              <w:r w:rsidR="00065110" w:rsidRPr="00065110">
                <w:rPr>
                  <w:rStyle w:val="Hyperlink"/>
                </w:rPr>
                <w:t>COVID-19 Return to Work Safety Training</w:t>
              </w:r>
            </w:hyperlink>
          </w:p>
          <w:p w14:paraId="334EAD9D" w14:textId="47AA9FD9" w:rsidR="003E5CAD" w:rsidRPr="00FC1DAA" w:rsidRDefault="003E5CAD" w:rsidP="003E5CAD">
            <w:r w:rsidRPr="00FC1DAA">
              <w:t>2-</w:t>
            </w:r>
            <w:r>
              <w:t xml:space="preserve">All research/project team members must take trainings. </w:t>
            </w:r>
          </w:p>
          <w:p w14:paraId="6C673FB7" w14:textId="13825A13" w:rsidR="003E5CAD" w:rsidRDefault="00F3317C" w:rsidP="003E5CAD">
            <w:r>
              <w:t>3</w:t>
            </w:r>
            <w:r w:rsidR="003E5CAD" w:rsidRPr="00FC1DAA">
              <w:t>-</w:t>
            </w:r>
            <w:r w:rsidR="003E5CAD">
              <w:t>As new team member enters project, th</w:t>
            </w:r>
            <w:bookmarkStart w:id="10" w:name="_GoBack"/>
            <w:bookmarkEnd w:id="10"/>
            <w:r w:rsidR="003E5CAD">
              <w:t>ey must take training.</w:t>
            </w:r>
          </w:p>
          <w:p w14:paraId="2AE5B04A" w14:textId="72BB5C40" w:rsidR="003E5CAD" w:rsidRPr="003E5CAD" w:rsidRDefault="00F3317C" w:rsidP="003E5CAD">
            <w:r>
              <w:t>4</w:t>
            </w:r>
            <w:r w:rsidR="003E5CAD">
              <w:t>-PI will keep record of completed trainings</w:t>
            </w:r>
          </w:p>
        </w:tc>
      </w:tr>
      <w:tr w:rsidR="00872589" w14:paraId="480ABCC8" w14:textId="77777777" w:rsidTr="0032762E">
        <w:tc>
          <w:tcPr>
            <w:tcW w:w="1255" w:type="dxa"/>
          </w:tcPr>
          <w:p w14:paraId="4CD56C15" w14:textId="3E85E283" w:rsidR="00872589" w:rsidRDefault="00872589" w:rsidP="00872589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3.3</w:t>
            </w:r>
          </w:p>
        </w:tc>
        <w:tc>
          <w:tcPr>
            <w:tcW w:w="8820" w:type="dxa"/>
          </w:tcPr>
          <w:p w14:paraId="5210D211" w14:textId="04060C67" w:rsidR="00872589" w:rsidRDefault="00872589" w:rsidP="00872589">
            <w:pPr>
              <w:rPr>
                <w:b/>
                <w:bCs/>
                <w:color w:val="0070C0"/>
              </w:rPr>
            </w:pPr>
            <w:r w:rsidRPr="00FC1DAA">
              <w:rPr>
                <w:b/>
                <w:bCs/>
                <w:color w:val="0070C0"/>
              </w:rPr>
              <w:t>Research and funded project team use personal protective equipment (PPE) and abide by personal safety best practices.</w:t>
            </w:r>
          </w:p>
          <w:p w14:paraId="77167779" w14:textId="33F255AB" w:rsidR="00872589" w:rsidRDefault="00872589" w:rsidP="00872589">
            <w:pPr>
              <w:rPr>
                <w:b/>
                <w:bCs/>
                <w:color w:val="0070C0"/>
              </w:rPr>
            </w:pPr>
          </w:p>
          <w:p w14:paraId="72CD4C92" w14:textId="0BF32B2B" w:rsidR="00872589" w:rsidRDefault="00872589" w:rsidP="00872589">
            <w:pPr>
              <w:rPr>
                <w:b/>
                <w:bCs/>
                <w:color w:val="0070C0"/>
              </w:rPr>
            </w:pPr>
            <w:r w:rsidRPr="00FC1DAA">
              <w:t xml:space="preserve">Ensure the best possible safety for team members by reducing the transmission of </w:t>
            </w:r>
            <w:r>
              <w:t>Covid-19</w:t>
            </w:r>
            <w:r w:rsidRPr="00FC1DAA">
              <w:t xml:space="preserve">. </w:t>
            </w:r>
            <w:r>
              <w:t>R</w:t>
            </w:r>
            <w:r w:rsidRPr="00FC1DAA">
              <w:t xml:space="preserve">esearch members </w:t>
            </w:r>
            <w:r w:rsidRPr="00FC1DAA">
              <w:rPr>
                <w:i/>
                <w:iCs/>
              </w:rPr>
              <w:t>must</w:t>
            </w:r>
            <w:r w:rsidRPr="00FC1DAA">
              <w:t xml:space="preserve"> wear facemasks while indoors </w:t>
            </w:r>
            <w:r>
              <w:t>and stand</w:t>
            </w:r>
            <w:r w:rsidRPr="00FC1DAA">
              <w:t xml:space="preserve"> 6 ft apart, disinfect their own seat and desk upon entering a lab or field site, and abide by personal safety best practices</w:t>
            </w:r>
            <w:r>
              <w:t>.</w:t>
            </w:r>
          </w:p>
          <w:p w14:paraId="7FF69021" w14:textId="77777777" w:rsidR="00872589" w:rsidRDefault="00872589" w:rsidP="00872589">
            <w:pPr>
              <w:rPr>
                <w:rFonts w:ascii="Calibri" w:hAnsi="Calibri" w:cs="Calibri"/>
                <w:b/>
                <w:color w:val="0070C0"/>
              </w:rPr>
            </w:pPr>
          </w:p>
          <w:p w14:paraId="31043741" w14:textId="77777777" w:rsidR="00872589" w:rsidRDefault="00872589" w:rsidP="00872589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Logistics:</w:t>
            </w:r>
          </w:p>
          <w:p w14:paraId="6A742E2E" w14:textId="77777777" w:rsidR="00872589" w:rsidRDefault="00872589" w:rsidP="00872589">
            <w:pPr>
              <w:rPr>
                <w:rFonts w:ascii="Calibri" w:hAnsi="Calibri" w:cs="Calibri"/>
                <w:b/>
                <w:color w:val="0070C0"/>
              </w:rPr>
            </w:pPr>
          </w:p>
          <w:p w14:paraId="2F5FE6DD" w14:textId="77777777" w:rsidR="00872589" w:rsidRPr="00FC1DAA" w:rsidRDefault="00872589" w:rsidP="00872589">
            <w:r w:rsidRPr="00FC1DAA">
              <w:t xml:space="preserve">1-The University of Arizona </w:t>
            </w:r>
            <w:r>
              <w:t xml:space="preserve">has </w:t>
            </w:r>
            <w:r w:rsidRPr="00FC1DAA">
              <w:t>provide</w:t>
            </w:r>
            <w:r>
              <w:t>d</w:t>
            </w:r>
            <w:r w:rsidRPr="00FC1DAA">
              <w:t xml:space="preserve"> each student, staff, faculty with 2 U of A branded facemasks.</w:t>
            </w:r>
          </w:p>
          <w:p w14:paraId="0D286768" w14:textId="77777777" w:rsidR="00872589" w:rsidRPr="00FC1DAA" w:rsidRDefault="00872589" w:rsidP="00872589">
            <w:r>
              <w:t xml:space="preserve">2-Research Team members are to wear facemasks in shared spaces and when space does not allow for appropriate physical distancing, unless unable due to health reasons. </w:t>
            </w:r>
          </w:p>
          <w:p w14:paraId="6213C052" w14:textId="77777777" w:rsidR="00872589" w:rsidRPr="00FC1DAA" w:rsidRDefault="00872589" w:rsidP="00872589">
            <w:r w:rsidRPr="00FC1DAA">
              <w:t>3-Research team members are to wear facemasks while in field sites with other individuals</w:t>
            </w:r>
            <w:r>
              <w:t>, unless unable due to health reasons</w:t>
            </w:r>
            <w:r w:rsidRPr="00FC1DAA">
              <w:t>.</w:t>
            </w:r>
          </w:p>
          <w:p w14:paraId="2AC5E4D4" w14:textId="77777777" w:rsidR="00872589" w:rsidRDefault="00872589" w:rsidP="00872589">
            <w:r w:rsidRPr="00FC1DAA">
              <w:lastRenderedPageBreak/>
              <w:t>4-</w:t>
            </w:r>
            <w:r>
              <w:t>Team members may determine to utilize face shields (or full body shields) and/or for field work.</w:t>
            </w:r>
          </w:p>
          <w:p w14:paraId="04E86718" w14:textId="77777777" w:rsidR="00872589" w:rsidRDefault="00872589" w:rsidP="00872589">
            <w:r>
              <w:t xml:space="preserve">5-Personal Safety best practices such as avoiding coming into lab or field site if symptomatic, disinfecting </w:t>
            </w:r>
            <w:proofErr w:type="gramStart"/>
            <w:r>
              <w:t>work spaces</w:t>
            </w:r>
            <w:proofErr w:type="gramEnd"/>
            <w:r>
              <w:t>, proper hand hygiene, avoiding congregating unnecessarily are practiced.</w:t>
            </w:r>
          </w:p>
          <w:p w14:paraId="32A03B2B" w14:textId="245878FE" w:rsidR="00872589" w:rsidRPr="00872589" w:rsidRDefault="00872589" w:rsidP="00872589">
            <w:r>
              <w:t>6</w:t>
            </w:r>
            <w:r w:rsidRPr="009D0444">
              <w:t>-Consider PPE guidance to include what/how/when to remove and reuse or dispose of it and the potential other sanitizing measures that should take place.</w:t>
            </w:r>
          </w:p>
        </w:tc>
      </w:tr>
    </w:tbl>
    <w:p w14:paraId="3D934F75" w14:textId="77777777" w:rsidR="007D619B" w:rsidRDefault="007D619B" w:rsidP="00BD1CAF">
      <w:pPr>
        <w:spacing w:after="0" w:line="240" w:lineRule="auto"/>
        <w:rPr>
          <w:rFonts w:ascii="Calibri" w:hAnsi="Calibri" w:cs="Calibri"/>
          <w:color w:val="0070C0"/>
        </w:rPr>
      </w:pPr>
    </w:p>
    <w:p w14:paraId="7E2A1AD4" w14:textId="77777777" w:rsidR="007D619B" w:rsidRDefault="007D619B" w:rsidP="00BD1CAF">
      <w:pPr>
        <w:spacing w:after="0" w:line="240" w:lineRule="auto"/>
        <w:rPr>
          <w:rFonts w:ascii="Calibri" w:hAnsi="Calibri" w:cs="Calibri"/>
          <w:color w:val="0070C0"/>
        </w:rPr>
      </w:pPr>
    </w:p>
    <w:sectPr w:rsidR="007D619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14B07F" w16cex:dateUtc="2020-06-01T05:53:49.16Z"/>
  <w16cex:commentExtensible w16cex:durableId="10AEA22A" w16cex:dateUtc="2020-06-01T05:58:25.874Z"/>
  <w16cex:commentExtensible w16cex:durableId="73F2A403" w16cex:dateUtc="2020-06-01T06:06:33.447Z"/>
  <w16cex:commentExtensible w16cex:durableId="230BE2C2" w16cex:dateUtc="2020-06-01T06:21:54.147Z"/>
  <w16cex:commentExtensible w16cex:durableId="22A72B73" w16cex:dateUtc="2020-06-01T06:27:27.267Z"/>
  <w16cex:commentExtensible w16cex:durableId="6D83CD8C" w16cex:dateUtc="2020-06-01T06:30:57.301Z"/>
  <w16cex:commentExtensible w16cex:durableId="0AEB5DF4" w16cex:dateUtc="2020-06-01T06:32:01.329Z"/>
  <w16cex:commentExtensible w16cex:durableId="3DB3D1F8" w16cex:dateUtc="2020-06-01T06:34:29.698Z"/>
  <w16cex:commentExtensible w16cex:durableId="6C3193F3" w16cex:dateUtc="2020-06-01T06:34:43.993Z"/>
  <w16cex:commentExtensible w16cex:durableId="26782466" w16cex:dateUtc="2020-06-01T20:15:37.616Z"/>
  <w16cex:commentExtensible w16cex:durableId="0B719082" w16cex:dateUtc="2020-06-01T20:20:20.183Z"/>
  <w16cex:commentExtensible w16cex:durableId="0EA6610C" w16cex:dateUtc="2020-06-01T20:21:48.72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45BE8" w14:textId="77777777" w:rsidR="00A95390" w:rsidRDefault="00A95390" w:rsidP="00D13725">
      <w:pPr>
        <w:spacing w:after="0" w:line="240" w:lineRule="auto"/>
      </w:pPr>
      <w:r>
        <w:separator/>
      </w:r>
    </w:p>
  </w:endnote>
  <w:endnote w:type="continuationSeparator" w:id="0">
    <w:p w14:paraId="107514E8" w14:textId="77777777" w:rsidR="00A95390" w:rsidRDefault="00A95390" w:rsidP="00D1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6454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9D7EB" w14:textId="04E70B76" w:rsidR="002B08A0" w:rsidRDefault="002B08A0" w:rsidP="00E500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B8816C" w14:textId="77777777" w:rsidR="002B08A0" w:rsidRDefault="002B08A0" w:rsidP="00AF6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8842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5E62A3" w14:textId="3277535C" w:rsidR="002B08A0" w:rsidRDefault="002B08A0" w:rsidP="00E500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C92A08" w14:textId="77777777" w:rsidR="002B08A0" w:rsidRDefault="002B08A0" w:rsidP="00AF6A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F7C1" w14:textId="77777777" w:rsidR="00A95390" w:rsidRDefault="00A95390" w:rsidP="00D13725">
      <w:pPr>
        <w:spacing w:after="0" w:line="240" w:lineRule="auto"/>
      </w:pPr>
      <w:r>
        <w:separator/>
      </w:r>
    </w:p>
  </w:footnote>
  <w:footnote w:type="continuationSeparator" w:id="0">
    <w:p w14:paraId="52815EE6" w14:textId="77777777" w:rsidR="00A95390" w:rsidRDefault="00A95390" w:rsidP="00D1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EE3A" w14:textId="68D504E1" w:rsidR="002B08A0" w:rsidRDefault="00A95390" w:rsidP="00D13725">
    <w:sdt>
      <w:sdtPr>
        <w:id w:val="14377852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B08A0">
          <w:t xml:space="preserve">COE Re-Entry </w:t>
        </w:r>
        <w:r w:rsidR="00EF2933">
          <w:t>Guidelines</w:t>
        </w:r>
        <w:r w:rsidR="002B08A0">
          <w:tab/>
        </w:r>
        <w:r w:rsidR="002B08A0">
          <w:tab/>
        </w:r>
        <w:r w:rsidR="002B08A0">
          <w:tab/>
        </w:r>
        <w:r w:rsidR="002B08A0">
          <w:tab/>
        </w:r>
        <w:r w:rsidR="002B08A0">
          <w:tab/>
        </w:r>
        <w:r w:rsidR="002B08A0">
          <w:tab/>
        </w:r>
        <w:r w:rsidR="002B08A0">
          <w:tab/>
        </w:r>
        <w:r w:rsidR="002B08A0">
          <w:fldChar w:fldCharType="begin"/>
        </w:r>
        <w:r w:rsidR="002B08A0">
          <w:instrText xml:space="preserve"> PAGE   \* MERGEFORMAT </w:instrText>
        </w:r>
        <w:r w:rsidR="002B08A0">
          <w:fldChar w:fldCharType="separate"/>
        </w:r>
        <w:r w:rsidR="002B08A0">
          <w:rPr>
            <w:noProof/>
          </w:rPr>
          <w:t>2</w:t>
        </w:r>
        <w:r w:rsidR="002B08A0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220"/>
    <w:multiLevelType w:val="hybridMultilevel"/>
    <w:tmpl w:val="0018F0A2"/>
    <w:lvl w:ilvl="0" w:tplc="37DA1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23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A2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23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85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E1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67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AD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E3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F0D"/>
    <w:multiLevelType w:val="hybridMultilevel"/>
    <w:tmpl w:val="7DB2B94A"/>
    <w:lvl w:ilvl="0" w:tplc="CEAEA9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931"/>
    <w:multiLevelType w:val="hybridMultilevel"/>
    <w:tmpl w:val="89C261E2"/>
    <w:lvl w:ilvl="0" w:tplc="B2C6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4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25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E6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AE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A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F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82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060"/>
    <w:multiLevelType w:val="hybridMultilevel"/>
    <w:tmpl w:val="7E9CC5F4"/>
    <w:lvl w:ilvl="0" w:tplc="121C0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882"/>
    <w:multiLevelType w:val="hybridMultilevel"/>
    <w:tmpl w:val="B7025162"/>
    <w:lvl w:ilvl="0" w:tplc="CEAEA9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22E6"/>
    <w:multiLevelType w:val="hybridMultilevel"/>
    <w:tmpl w:val="14869B30"/>
    <w:lvl w:ilvl="0" w:tplc="092E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43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85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87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C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E8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42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09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09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6241"/>
    <w:multiLevelType w:val="hybridMultilevel"/>
    <w:tmpl w:val="36A48A66"/>
    <w:lvl w:ilvl="0" w:tplc="2F74D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256"/>
    <w:multiLevelType w:val="hybridMultilevel"/>
    <w:tmpl w:val="0DFE1224"/>
    <w:lvl w:ilvl="0" w:tplc="5FC6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9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4E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4C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C5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A4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2C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68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09B8"/>
    <w:multiLevelType w:val="hybridMultilevel"/>
    <w:tmpl w:val="03F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5868"/>
    <w:multiLevelType w:val="hybridMultilevel"/>
    <w:tmpl w:val="A2867A68"/>
    <w:lvl w:ilvl="0" w:tplc="4E9AF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64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80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86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0C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69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6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5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0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25"/>
    <w:rsid w:val="00002FAA"/>
    <w:rsid w:val="000157EB"/>
    <w:rsid w:val="000266F0"/>
    <w:rsid w:val="000275C0"/>
    <w:rsid w:val="00037D24"/>
    <w:rsid w:val="00040FE2"/>
    <w:rsid w:val="00065110"/>
    <w:rsid w:val="000839BC"/>
    <w:rsid w:val="0008714B"/>
    <w:rsid w:val="00090319"/>
    <w:rsid w:val="000A7C7D"/>
    <w:rsid w:val="00120B4E"/>
    <w:rsid w:val="001339EE"/>
    <w:rsid w:val="001512E1"/>
    <w:rsid w:val="001525C4"/>
    <w:rsid w:val="00153511"/>
    <w:rsid w:val="00191A5E"/>
    <w:rsid w:val="001B3DC2"/>
    <w:rsid w:val="001C064A"/>
    <w:rsid w:val="001C70F3"/>
    <w:rsid w:val="001D2D96"/>
    <w:rsid w:val="00227D0E"/>
    <w:rsid w:val="00273B03"/>
    <w:rsid w:val="00283990"/>
    <w:rsid w:val="00287128"/>
    <w:rsid w:val="00294A6E"/>
    <w:rsid w:val="002B08A0"/>
    <w:rsid w:val="002B7D9D"/>
    <w:rsid w:val="002C3D06"/>
    <w:rsid w:val="002C7C80"/>
    <w:rsid w:val="002D05DA"/>
    <w:rsid w:val="002F5509"/>
    <w:rsid w:val="0030694F"/>
    <w:rsid w:val="00320FCB"/>
    <w:rsid w:val="00345B36"/>
    <w:rsid w:val="00380AA9"/>
    <w:rsid w:val="00384DDE"/>
    <w:rsid w:val="003A06C3"/>
    <w:rsid w:val="003A718A"/>
    <w:rsid w:val="003B563C"/>
    <w:rsid w:val="003D2E2D"/>
    <w:rsid w:val="003E5CAD"/>
    <w:rsid w:val="003E72A0"/>
    <w:rsid w:val="003F1DAB"/>
    <w:rsid w:val="003F3046"/>
    <w:rsid w:val="0043455F"/>
    <w:rsid w:val="0044187E"/>
    <w:rsid w:val="00442ED5"/>
    <w:rsid w:val="00466BB2"/>
    <w:rsid w:val="0047235F"/>
    <w:rsid w:val="00476D16"/>
    <w:rsid w:val="00484F89"/>
    <w:rsid w:val="004904DB"/>
    <w:rsid w:val="004A6D4B"/>
    <w:rsid w:val="004F0CB9"/>
    <w:rsid w:val="004F759C"/>
    <w:rsid w:val="00537192"/>
    <w:rsid w:val="00542624"/>
    <w:rsid w:val="005555AC"/>
    <w:rsid w:val="00560EF9"/>
    <w:rsid w:val="00574C7A"/>
    <w:rsid w:val="00597AF6"/>
    <w:rsid w:val="005A1694"/>
    <w:rsid w:val="005A2060"/>
    <w:rsid w:val="005E081A"/>
    <w:rsid w:val="005E2690"/>
    <w:rsid w:val="00651850"/>
    <w:rsid w:val="006638AA"/>
    <w:rsid w:val="00680DB9"/>
    <w:rsid w:val="00687D7D"/>
    <w:rsid w:val="0069794B"/>
    <w:rsid w:val="006A1A8F"/>
    <w:rsid w:val="006B6A85"/>
    <w:rsid w:val="006C4273"/>
    <w:rsid w:val="006C7E0F"/>
    <w:rsid w:val="006E7DE6"/>
    <w:rsid w:val="00716207"/>
    <w:rsid w:val="00726BC8"/>
    <w:rsid w:val="007465A7"/>
    <w:rsid w:val="0076233E"/>
    <w:rsid w:val="00773E0D"/>
    <w:rsid w:val="0077664F"/>
    <w:rsid w:val="007A3C99"/>
    <w:rsid w:val="007B21E0"/>
    <w:rsid w:val="007D3A71"/>
    <w:rsid w:val="007D619B"/>
    <w:rsid w:val="007F6ACB"/>
    <w:rsid w:val="00835131"/>
    <w:rsid w:val="00837B34"/>
    <w:rsid w:val="00845E78"/>
    <w:rsid w:val="00872589"/>
    <w:rsid w:val="008A4D48"/>
    <w:rsid w:val="009032A7"/>
    <w:rsid w:val="00936F78"/>
    <w:rsid w:val="00946CDE"/>
    <w:rsid w:val="00970259"/>
    <w:rsid w:val="00987AD4"/>
    <w:rsid w:val="009A0DFD"/>
    <w:rsid w:val="009C109D"/>
    <w:rsid w:val="009D0444"/>
    <w:rsid w:val="009E53C8"/>
    <w:rsid w:val="00A22EFB"/>
    <w:rsid w:val="00A24FEA"/>
    <w:rsid w:val="00A4240A"/>
    <w:rsid w:val="00A8677E"/>
    <w:rsid w:val="00A95390"/>
    <w:rsid w:val="00A96C47"/>
    <w:rsid w:val="00AA4C3A"/>
    <w:rsid w:val="00AB2824"/>
    <w:rsid w:val="00AC2360"/>
    <w:rsid w:val="00AC2417"/>
    <w:rsid w:val="00AD4645"/>
    <w:rsid w:val="00AD532F"/>
    <w:rsid w:val="00AF6AD4"/>
    <w:rsid w:val="00AF78D9"/>
    <w:rsid w:val="00B13454"/>
    <w:rsid w:val="00B33665"/>
    <w:rsid w:val="00B41BA4"/>
    <w:rsid w:val="00B565C6"/>
    <w:rsid w:val="00B6797E"/>
    <w:rsid w:val="00B819A0"/>
    <w:rsid w:val="00B94E9C"/>
    <w:rsid w:val="00BB187E"/>
    <w:rsid w:val="00BB2ED2"/>
    <w:rsid w:val="00BD1BD7"/>
    <w:rsid w:val="00BD1CAF"/>
    <w:rsid w:val="00BF249C"/>
    <w:rsid w:val="00C01E43"/>
    <w:rsid w:val="00C052DF"/>
    <w:rsid w:val="00C05B52"/>
    <w:rsid w:val="00C30595"/>
    <w:rsid w:val="00C31DE5"/>
    <w:rsid w:val="00C404D9"/>
    <w:rsid w:val="00C407B0"/>
    <w:rsid w:val="00C4273E"/>
    <w:rsid w:val="00C74174"/>
    <w:rsid w:val="00C81931"/>
    <w:rsid w:val="00CA5D57"/>
    <w:rsid w:val="00CB0810"/>
    <w:rsid w:val="00CB0883"/>
    <w:rsid w:val="00CC1714"/>
    <w:rsid w:val="00CE5362"/>
    <w:rsid w:val="00CF2C20"/>
    <w:rsid w:val="00CF6569"/>
    <w:rsid w:val="00D05479"/>
    <w:rsid w:val="00D12E09"/>
    <w:rsid w:val="00D13725"/>
    <w:rsid w:val="00D40862"/>
    <w:rsid w:val="00D6500E"/>
    <w:rsid w:val="00D71347"/>
    <w:rsid w:val="00D82354"/>
    <w:rsid w:val="00D86795"/>
    <w:rsid w:val="00DD37C2"/>
    <w:rsid w:val="00DE1F71"/>
    <w:rsid w:val="00DF4D4B"/>
    <w:rsid w:val="00DF5822"/>
    <w:rsid w:val="00E12793"/>
    <w:rsid w:val="00E25989"/>
    <w:rsid w:val="00E31C13"/>
    <w:rsid w:val="00E333A3"/>
    <w:rsid w:val="00E42135"/>
    <w:rsid w:val="00E5001B"/>
    <w:rsid w:val="00E62C1B"/>
    <w:rsid w:val="00E7795D"/>
    <w:rsid w:val="00EC30B9"/>
    <w:rsid w:val="00ED7A8A"/>
    <w:rsid w:val="00EE0712"/>
    <w:rsid w:val="00EE7CF7"/>
    <w:rsid w:val="00EF2933"/>
    <w:rsid w:val="00EF73C3"/>
    <w:rsid w:val="00F3317C"/>
    <w:rsid w:val="00F54829"/>
    <w:rsid w:val="00F76B0E"/>
    <w:rsid w:val="00F81DC5"/>
    <w:rsid w:val="00F90835"/>
    <w:rsid w:val="00F95870"/>
    <w:rsid w:val="00FC1DAA"/>
    <w:rsid w:val="00FC41A4"/>
    <w:rsid w:val="00FD161C"/>
    <w:rsid w:val="17F9785A"/>
    <w:rsid w:val="1EDF8938"/>
    <w:rsid w:val="2DCA2C3B"/>
    <w:rsid w:val="39D90C46"/>
    <w:rsid w:val="476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27E6F"/>
  <w15:chartTrackingRefBased/>
  <w15:docId w15:val="{E20C6F4A-4F5D-413C-B3CD-69943968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25"/>
  </w:style>
  <w:style w:type="paragraph" w:styleId="Footer">
    <w:name w:val="footer"/>
    <w:basedOn w:val="Normal"/>
    <w:link w:val="FooterChar"/>
    <w:uiPriority w:val="99"/>
    <w:unhideWhenUsed/>
    <w:rsid w:val="00D1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25"/>
  </w:style>
  <w:style w:type="paragraph" w:styleId="ListParagraph">
    <w:name w:val="List Paragraph"/>
    <w:basedOn w:val="Normal"/>
    <w:uiPriority w:val="34"/>
    <w:qFormat/>
    <w:rsid w:val="00542624"/>
    <w:pPr>
      <w:ind w:left="720"/>
      <w:contextualSpacing/>
    </w:pPr>
  </w:style>
  <w:style w:type="table" w:styleId="TableGrid">
    <w:name w:val="Table Grid"/>
    <w:basedOn w:val="TableNormal"/>
    <w:uiPriority w:val="39"/>
    <w:rsid w:val="0054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F6AD4"/>
  </w:style>
  <w:style w:type="paragraph" w:customStyle="1" w:styleId="Normal1">
    <w:name w:val="Normal1"/>
    <w:rsid w:val="009A0DF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30B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5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7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7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7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716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ccess.arizona.edu/psp/uazelprd/EMPLOYEE/ELM/c/LM_SS_LEARNING.LM_LEARNING_ITEMS.GBL?LM_CI_ID=1669&amp;LM_ACT_I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arizona.edu/covid19/research-resta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a28d7787467e47b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</dc:creator>
  <cp:keywords/>
  <dc:description/>
  <cp:lastModifiedBy>Sbragia, Zachary T - (zsbragia)</cp:lastModifiedBy>
  <cp:revision>45</cp:revision>
  <dcterms:created xsi:type="dcterms:W3CDTF">2020-11-10T17:38:00Z</dcterms:created>
  <dcterms:modified xsi:type="dcterms:W3CDTF">2020-11-13T21:26:00Z</dcterms:modified>
</cp:coreProperties>
</file>